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84"/>
        <w:spacing w:before="14" w:line="22" w:lineRule="exact"/>
        <w:rPr/>
      </w:pPr>
      <w:r>
        <w:rPr/>
        <w:pict>
          <v:shape id="_x0000_s2" style="mso-position-vertical-relative:line;mso-position-horizontal-relative:char;width:510.05pt;height:1.15pt;" filled="false" strokecolor="#231F20" strokeweight="1.13pt" coordsize="10200,22" coordorigin="0,0" path="m0,11l10200,11e">
            <v:stroke joinstyle="miter" miterlimit="4"/>
          </v:shape>
        </w:pict>
      </w:r>
    </w:p>
    <w:p>
      <w:pPr>
        <w:ind w:left="2313"/>
        <w:spacing w:before="373" w:line="223" w:lineRule="auto"/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  <w:color w:val="231F20"/>
          <w:spacing w:val="2"/>
        </w:rPr>
        <w:t>永磁同步电机矢量控制策略分析</w:t>
      </w:r>
    </w:p>
    <w:p>
      <w:pPr>
        <w:ind w:left="4535"/>
        <w:spacing w:before="204" w:line="165" w:lineRule="auto"/>
        <w:rPr>
          <w:rFonts w:ascii="Microsoft YaHei" w:hAnsi="Microsoft YaHei" w:eastAsia="Microsoft YaHei" w:cs="Microsoft YaHei"/>
          <w:sz w:val="12"/>
          <w:szCs w:val="12"/>
        </w:rPr>
      </w:pPr>
      <w:r>
        <w:rPr>
          <w:rFonts w:ascii="Microsoft YaHei" w:hAnsi="Microsoft YaHei" w:eastAsia="Microsoft YaHei" w:cs="Microsoft YaHei"/>
          <w:sz w:val="22"/>
          <w:szCs w:val="22"/>
          <w:color w:val="231F20"/>
          <w:spacing w:val="-12"/>
          <w:w w:val="91"/>
          <w:position w:val="-1"/>
        </w:rPr>
        <w:t>常</w:t>
      </w:r>
      <w:r>
        <w:rPr>
          <w:rFonts w:ascii="Microsoft YaHei" w:hAnsi="Microsoft YaHei" w:eastAsia="Microsoft YaHei" w:cs="Microsoft YaHei"/>
          <w:sz w:val="22"/>
          <w:szCs w:val="22"/>
          <w:color w:val="231F20"/>
          <w:spacing w:val="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231F20"/>
          <w:spacing w:val="-12"/>
          <w:w w:val="91"/>
          <w:position w:val="-1"/>
        </w:rPr>
        <w:t>亮</w:t>
      </w:r>
      <w:r>
        <w:rPr>
          <w:rFonts w:ascii="Microsoft YaHei" w:hAnsi="Microsoft YaHei" w:eastAsia="Microsoft YaHei" w:cs="Microsoft YaHei"/>
          <w:sz w:val="12"/>
          <w:szCs w:val="12"/>
          <w:color w:val="231F20"/>
          <w:spacing w:val="-9"/>
          <w:position w:val="8"/>
        </w:rPr>
        <w:t>1</w:t>
      </w:r>
      <w:r>
        <w:rPr>
          <w:rFonts w:ascii="Microsoft YaHei" w:hAnsi="Microsoft YaHei" w:eastAsia="Microsoft YaHei" w:cs="Microsoft YaHei"/>
          <w:sz w:val="22"/>
          <w:szCs w:val="22"/>
          <w:color w:val="231F20"/>
          <w:spacing w:val="-9"/>
          <w:position w:val="-1"/>
        </w:rPr>
        <w:t>，王</w:t>
      </w:r>
      <w:r>
        <w:rPr>
          <w:rFonts w:ascii="Microsoft YaHei" w:hAnsi="Microsoft YaHei" w:eastAsia="Microsoft YaHei" w:cs="Microsoft YaHei"/>
          <w:sz w:val="22"/>
          <w:szCs w:val="22"/>
          <w:color w:val="231F20"/>
          <w:spacing w:val="47"/>
          <w:w w:val="10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231F20"/>
          <w:spacing w:val="-7"/>
          <w:w w:val="91"/>
          <w:position w:val="-1"/>
        </w:rPr>
        <w:t>升</w:t>
      </w:r>
      <w:r>
        <w:rPr>
          <w:rFonts w:ascii="Microsoft YaHei" w:hAnsi="Microsoft YaHei" w:eastAsia="Microsoft YaHei" w:cs="Microsoft YaHei"/>
          <w:sz w:val="12"/>
          <w:szCs w:val="12"/>
          <w:color w:val="231F20"/>
          <w:spacing w:val="3"/>
          <w:position w:val="8"/>
        </w:rPr>
        <w:t>2</w:t>
      </w:r>
    </w:p>
    <w:p>
      <w:pPr>
        <w:ind w:left="936"/>
        <w:spacing w:line="19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  <w:spacing w:val="-4"/>
        </w:rPr>
        <w:t>（1.</w:t>
      </w:r>
      <w:r>
        <w:rPr>
          <w:rFonts w:ascii="KaiTi" w:hAnsi="KaiTi" w:eastAsia="KaiTi" w:cs="KaiTi"/>
          <w:sz w:val="20"/>
          <w:szCs w:val="20"/>
          <w:color w:val="231F20"/>
          <w:spacing w:val="-34"/>
        </w:rPr>
        <w:t xml:space="preserve"> </w:t>
      </w:r>
      <w:r>
        <w:rPr>
          <w:rFonts w:ascii="KaiTi" w:hAnsi="KaiTi" w:eastAsia="KaiTi" w:cs="KaiTi"/>
          <w:sz w:val="20"/>
          <w:szCs w:val="20"/>
          <w:color w:val="231F20"/>
          <w:spacing w:val="-4"/>
        </w:rPr>
        <w:t>渤海船舶职业学院，辽宁葫芦岛，1250</w:t>
      </w:r>
      <w:r>
        <w:rPr>
          <w:rFonts w:ascii="KaiTi" w:hAnsi="KaiTi" w:eastAsia="KaiTi" w:cs="KaiTi"/>
          <w:sz w:val="20"/>
          <w:szCs w:val="20"/>
          <w:color w:val="231F20"/>
          <w:spacing w:val="-5"/>
        </w:rPr>
        <w:t>00；2.</w:t>
      </w:r>
      <w:r>
        <w:rPr>
          <w:rFonts w:ascii="KaiTi" w:hAnsi="KaiTi" w:eastAsia="KaiTi" w:cs="KaiTi"/>
          <w:sz w:val="20"/>
          <w:szCs w:val="20"/>
          <w:color w:val="231F20"/>
          <w:spacing w:val="-35"/>
        </w:rPr>
        <w:t xml:space="preserve"> </w:t>
      </w:r>
      <w:r>
        <w:rPr>
          <w:rFonts w:ascii="KaiTi" w:hAnsi="KaiTi" w:eastAsia="KaiTi" w:cs="KaiTi"/>
          <w:sz w:val="20"/>
          <w:szCs w:val="20"/>
          <w:color w:val="231F20"/>
          <w:spacing w:val="-5"/>
        </w:rPr>
        <w:t>渤海船舶重工有限公司，辽宁葫芦岛，125004）</w:t>
      </w:r>
    </w:p>
    <w:p>
      <w:pPr>
        <w:pStyle w:val="BodyText"/>
        <w:ind w:left="376" w:right="284" w:hanging="2"/>
        <w:spacing w:before="220" w:line="207" w:lineRule="auto"/>
        <w:rPr/>
      </w:pPr>
      <w:r>
        <w:rPr>
          <w:rFonts w:ascii="SimHei" w:hAnsi="SimHei" w:eastAsia="SimHei" w:cs="SimHei"/>
          <w:color w:val="231F20"/>
          <w:spacing w:val="-5"/>
        </w:rPr>
        <w:t>摘要</w:t>
      </w:r>
      <w:r>
        <w:rPr>
          <w:rFonts w:ascii="SimHei" w:hAnsi="SimHei" w:eastAsia="SimHei" w:cs="SimHei"/>
          <w:color w:val="231F20"/>
          <w:spacing w:val="-45"/>
        </w:rPr>
        <w:t xml:space="preserve"> </w:t>
      </w:r>
      <w:r>
        <w:rPr>
          <w:rFonts w:ascii="SimHei" w:hAnsi="SimHei" w:eastAsia="SimHei" w:cs="SimHei"/>
          <w:color w:val="231F20"/>
          <w:spacing w:val="-5"/>
        </w:rPr>
        <w:t>：</w:t>
      </w:r>
      <w:r>
        <w:rPr>
          <w:color w:val="231F20"/>
          <w:spacing w:val="-5"/>
        </w:rPr>
        <w:t>本文通过矢量控制策略采用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id=0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控制方案快速准确地控制转矩，实现调速系统具有较高的动态性能。并利用了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Matl</w:t>
      </w:r>
      <w:r>
        <w:rPr>
          <w:color w:val="231F20"/>
          <w:spacing w:val="-6"/>
        </w:rPr>
        <w:t>ab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工具对永磁同步电机矢量控制系统在空载起动、转速突变、负载突变进行了仿真研究。</w:t>
      </w:r>
    </w:p>
    <w:p>
      <w:pPr>
        <w:pStyle w:val="BodyText"/>
        <w:ind w:left="381"/>
        <w:spacing w:before="15" w:line="222" w:lineRule="auto"/>
        <w:rPr/>
      </w:pPr>
      <w:r>
        <w:rPr>
          <w:rFonts w:ascii="SimHei" w:hAnsi="SimHei" w:eastAsia="SimHei" w:cs="SimHei"/>
          <w:color w:val="231F20"/>
          <w:spacing w:val="-7"/>
        </w:rPr>
        <w:t>关键词</w:t>
      </w:r>
      <w:r>
        <w:rPr>
          <w:rFonts w:ascii="SimHei" w:hAnsi="SimHei" w:eastAsia="SimHei" w:cs="SimHei"/>
          <w:color w:val="231F20"/>
          <w:spacing w:val="-41"/>
        </w:rPr>
        <w:t xml:space="preserve"> </w:t>
      </w:r>
      <w:r>
        <w:rPr>
          <w:color w:val="231F20"/>
          <w:spacing w:val="-7"/>
        </w:rPr>
        <w:t>：永磁同步电机 ; 矢量控制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7"/>
        </w:rPr>
        <w:t>; 空间矢量脉宽调制</w:t>
      </w:r>
    </w:p>
    <w:p>
      <w:pPr>
        <w:pStyle w:val="BodyText"/>
        <w:ind w:right="16"/>
        <w:spacing w:before="242" w:line="434" w:lineRule="exact"/>
        <w:jc w:val="right"/>
        <w:rPr>
          <w:sz w:val="32"/>
          <w:szCs w:val="32"/>
        </w:rPr>
      </w:pPr>
      <w:r>
        <w:rPr>
          <w:sz w:val="32"/>
          <w:szCs w:val="32"/>
          <w:color w:val="231F20"/>
          <w:spacing w:val="16"/>
          <w:position w:val="4"/>
        </w:rPr>
        <w:t>The</w:t>
      </w:r>
      <w:r>
        <w:rPr>
          <w:sz w:val="32"/>
          <w:szCs w:val="32"/>
          <w:color w:val="231F20"/>
          <w:spacing w:val="-59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simulation</w:t>
      </w:r>
      <w:r>
        <w:rPr>
          <w:sz w:val="32"/>
          <w:szCs w:val="32"/>
          <w:color w:val="231F20"/>
          <w:spacing w:val="-63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research</w:t>
      </w:r>
      <w:r>
        <w:rPr>
          <w:sz w:val="32"/>
          <w:szCs w:val="32"/>
          <w:color w:val="231F20"/>
          <w:spacing w:val="-58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of</w:t>
      </w:r>
      <w:r>
        <w:rPr>
          <w:sz w:val="32"/>
          <w:szCs w:val="32"/>
          <w:color w:val="231F20"/>
          <w:spacing w:val="-94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permanent</w:t>
      </w:r>
      <w:r>
        <w:rPr>
          <w:sz w:val="32"/>
          <w:szCs w:val="32"/>
          <w:color w:val="231F20"/>
          <w:spacing w:val="-62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magnet</w:t>
      </w:r>
      <w:r>
        <w:rPr>
          <w:sz w:val="32"/>
          <w:szCs w:val="32"/>
          <w:color w:val="231F20"/>
          <w:spacing w:val="-59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synchronous</w:t>
      </w:r>
      <w:r>
        <w:rPr>
          <w:sz w:val="32"/>
          <w:szCs w:val="32"/>
          <w:color w:val="231F20"/>
          <w:spacing w:val="-63"/>
          <w:position w:val="4"/>
        </w:rPr>
        <w:t xml:space="preserve"> </w:t>
      </w:r>
      <w:r>
        <w:rPr>
          <w:sz w:val="32"/>
          <w:szCs w:val="32"/>
          <w:color w:val="231F20"/>
          <w:spacing w:val="16"/>
          <w:position w:val="4"/>
        </w:rPr>
        <w:t>motor</w:t>
      </w:r>
    </w:p>
    <w:p>
      <w:pPr>
        <w:pStyle w:val="BodyText"/>
        <w:ind w:left="2779"/>
        <w:spacing w:before="6" w:line="462" w:lineRule="exact"/>
        <w:rPr>
          <w:sz w:val="32"/>
          <w:szCs w:val="32"/>
        </w:rPr>
      </w:pPr>
      <w:r>
        <w:rPr>
          <w:sz w:val="32"/>
          <w:szCs w:val="32"/>
          <w:color w:val="231F20"/>
          <w:spacing w:val="10"/>
          <w:position w:val="2"/>
        </w:rPr>
        <w:t>vector</w:t>
      </w:r>
      <w:r>
        <w:rPr>
          <w:sz w:val="32"/>
          <w:szCs w:val="32"/>
          <w:color w:val="231F20"/>
          <w:spacing w:val="-57"/>
          <w:position w:val="2"/>
        </w:rPr>
        <w:t xml:space="preserve"> </w:t>
      </w:r>
      <w:r>
        <w:rPr>
          <w:sz w:val="32"/>
          <w:szCs w:val="32"/>
          <w:color w:val="231F20"/>
          <w:spacing w:val="10"/>
          <w:position w:val="2"/>
        </w:rPr>
        <w:t>control</w:t>
      </w:r>
      <w:r>
        <w:rPr>
          <w:sz w:val="32"/>
          <w:szCs w:val="32"/>
          <w:color w:val="231F20"/>
          <w:spacing w:val="-65"/>
          <w:position w:val="2"/>
        </w:rPr>
        <w:t xml:space="preserve"> </w:t>
      </w:r>
      <w:r>
        <w:rPr>
          <w:sz w:val="32"/>
          <w:szCs w:val="32"/>
          <w:color w:val="231F20"/>
          <w:spacing w:val="10"/>
          <w:position w:val="2"/>
        </w:rPr>
        <w:t>based</w:t>
      </w:r>
      <w:r>
        <w:rPr>
          <w:sz w:val="32"/>
          <w:szCs w:val="32"/>
          <w:color w:val="231F20"/>
          <w:spacing w:val="-58"/>
          <w:position w:val="2"/>
        </w:rPr>
        <w:t xml:space="preserve"> </w:t>
      </w:r>
      <w:r>
        <w:rPr>
          <w:sz w:val="32"/>
          <w:szCs w:val="32"/>
          <w:color w:val="231F20"/>
          <w:spacing w:val="10"/>
          <w:position w:val="2"/>
        </w:rPr>
        <w:t>on</w:t>
      </w:r>
      <w:r>
        <w:rPr>
          <w:sz w:val="32"/>
          <w:szCs w:val="32"/>
          <w:color w:val="231F20"/>
          <w:spacing w:val="-64"/>
          <w:position w:val="2"/>
        </w:rPr>
        <w:t xml:space="preserve"> </w:t>
      </w:r>
      <w:r>
        <w:rPr>
          <w:sz w:val="32"/>
          <w:szCs w:val="32"/>
          <w:color w:val="231F20"/>
          <w:spacing w:val="10"/>
          <w:position w:val="2"/>
        </w:rPr>
        <w:t>Matlab</w:t>
      </w:r>
    </w:p>
    <w:p>
      <w:pPr>
        <w:pStyle w:val="BodyText"/>
        <w:ind w:left="4092"/>
        <w:spacing w:line="214" w:lineRule="auto"/>
        <w:rPr>
          <w:sz w:val="20"/>
          <w:szCs w:val="20"/>
        </w:rPr>
      </w:pPr>
      <w:r>
        <w:rPr>
          <w:sz w:val="20"/>
          <w:szCs w:val="20"/>
          <w:color w:val="231F20"/>
          <w:spacing w:val="-1"/>
        </w:rPr>
        <w:t>Chang Liang,Wang Sheng</w:t>
      </w:r>
    </w:p>
    <w:p>
      <w:pPr>
        <w:pStyle w:val="BodyText"/>
        <w:ind w:left="279"/>
        <w:spacing w:before="55" w:line="214" w:lineRule="auto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:color w:val="231F20"/>
        </w:rPr>
        <w:t>(1、Bohai Ship Building Vocational College,Liaoning Hu</w:t>
      </w:r>
      <w:r>
        <w:rPr>
          <w:sz w:val="20"/>
          <w:szCs w:val="20"/>
          <w:color w:val="231F20"/>
          <w:spacing w:val="-1"/>
        </w:rPr>
        <w:t>ludao，</w:t>
      </w:r>
      <w:r>
        <w:rPr>
          <w:rFonts w:ascii="KaiTi" w:hAnsi="KaiTi" w:eastAsia="KaiTi" w:cs="KaiTi"/>
          <w:sz w:val="20"/>
          <w:szCs w:val="20"/>
          <w:color w:val="231F20"/>
          <w:spacing w:val="-1"/>
        </w:rPr>
        <w:t>125000；2、Bohai</w:t>
      </w:r>
      <w:r>
        <w:rPr>
          <w:rFonts w:ascii="KaiTi" w:hAnsi="KaiTi" w:eastAsia="KaiTi" w:cs="KaiTi"/>
          <w:sz w:val="20"/>
          <w:szCs w:val="20"/>
          <w:color w:val="231F20"/>
          <w:spacing w:val="-1"/>
        </w:rPr>
        <w:t xml:space="preserve"> </w:t>
      </w:r>
      <w:r>
        <w:rPr>
          <w:rFonts w:ascii="KaiTi" w:hAnsi="KaiTi" w:eastAsia="KaiTi" w:cs="KaiTi"/>
          <w:sz w:val="20"/>
          <w:szCs w:val="20"/>
          <w:color w:val="231F20"/>
          <w:spacing w:val="-1"/>
        </w:rPr>
        <w:t>Shipbuilding</w:t>
      </w:r>
      <w:r>
        <w:rPr>
          <w:rFonts w:ascii="KaiTi" w:hAnsi="KaiTi" w:eastAsia="KaiTi" w:cs="KaiTi"/>
          <w:sz w:val="20"/>
          <w:szCs w:val="20"/>
          <w:color w:val="231F20"/>
          <w:spacing w:val="-1"/>
        </w:rPr>
        <w:t xml:space="preserve"> </w:t>
      </w:r>
      <w:r>
        <w:rPr>
          <w:rFonts w:ascii="KaiTi" w:hAnsi="KaiTi" w:eastAsia="KaiTi" w:cs="KaiTi"/>
          <w:sz w:val="20"/>
          <w:szCs w:val="20"/>
          <w:color w:val="231F20"/>
          <w:spacing w:val="-1"/>
        </w:rPr>
        <w:t>Industry</w:t>
      </w:r>
    </w:p>
    <w:p>
      <w:pPr>
        <w:pStyle w:val="BodyText"/>
        <w:ind w:left="3495"/>
        <w:spacing w:before="8" w:line="214" w:lineRule="auto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</w:rPr>
        <w:t>Co.,</w:t>
      </w:r>
      <w:r>
        <w:rPr>
          <w:rFonts w:ascii="KaiTi" w:hAnsi="KaiTi" w:eastAsia="KaiTi" w:cs="KaiTi"/>
          <w:sz w:val="20"/>
          <w:szCs w:val="20"/>
          <w:color w:val="231F20"/>
        </w:rPr>
        <w:t xml:space="preserve"> </w:t>
      </w:r>
      <w:r>
        <w:rPr>
          <w:rFonts w:ascii="KaiTi" w:hAnsi="KaiTi" w:eastAsia="KaiTi" w:cs="KaiTi"/>
          <w:sz w:val="20"/>
          <w:szCs w:val="20"/>
          <w:color w:val="231F20"/>
        </w:rPr>
        <w:t>Ltd.,</w:t>
      </w:r>
      <w:r>
        <w:rPr>
          <w:sz w:val="20"/>
          <w:szCs w:val="20"/>
          <w:color w:val="231F20"/>
        </w:rPr>
        <w:t>Liaoning Hulud</w:t>
      </w:r>
      <w:r>
        <w:rPr>
          <w:sz w:val="20"/>
          <w:szCs w:val="20"/>
          <w:color w:val="231F20"/>
          <w:spacing w:val="-1"/>
        </w:rPr>
        <w:t>ao,</w:t>
      </w:r>
      <w:r>
        <w:rPr>
          <w:rFonts w:ascii="KaiTi" w:hAnsi="KaiTi" w:eastAsia="KaiTi" w:cs="KaiTi"/>
          <w:sz w:val="20"/>
          <w:szCs w:val="20"/>
          <w:color w:val="231F20"/>
          <w:spacing w:val="-1"/>
        </w:rPr>
        <w:t>125004</w:t>
      </w:r>
      <w:r>
        <w:rPr>
          <w:sz w:val="20"/>
          <w:szCs w:val="20"/>
          <w:color w:val="231F20"/>
          <w:spacing w:val="-1"/>
        </w:rPr>
        <w:t>)</w:t>
      </w:r>
    </w:p>
    <w:p>
      <w:pPr>
        <w:pStyle w:val="BodyText"/>
        <w:ind w:left="372" w:right="279" w:hanging="5"/>
        <w:spacing w:before="235" w:line="222" w:lineRule="auto"/>
        <w:jc w:val="both"/>
        <w:rPr/>
      </w:pPr>
      <w:r>
        <w:rPr>
          <w:color w:val="231F20"/>
          <w:spacing w:val="-2"/>
        </w:rPr>
        <w:t>Abstract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：In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paper,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vector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strategy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id=0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scheme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8"/>
          <w:w w:val="101"/>
        </w:rPr>
        <w:t xml:space="preserve"> </w:t>
      </w:r>
      <w:r>
        <w:rPr>
          <w:color w:val="231F20"/>
          <w:spacing w:val="-2"/>
        </w:rPr>
        <w:t>fast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accurate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torque,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dynamic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performance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achieve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speed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syste</w:t>
      </w:r>
      <w:r>
        <w:rPr>
          <w:color w:val="231F20"/>
          <w:spacing w:val="-2"/>
        </w:rPr>
        <w:t>m.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Matlab/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simulink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permanent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magnet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1"/>
        </w:rPr>
        <w:t>synchro</w:t>
      </w:r>
      <w:r>
        <w:rPr>
          <w:color w:val="231F20"/>
          <w:spacing w:val="-2"/>
        </w:rPr>
        <w:t>nous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motor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vector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system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simulated,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2"/>
        </w:rPr>
        <w:t>simulation</w:t>
      </w:r>
      <w:r>
        <w:rPr>
          <w:color w:val="231F20"/>
        </w:rPr>
        <w:t xml:space="preserve"> </w:t>
      </w:r>
      <w:r>
        <w:rPr>
          <w:color w:val="231F20"/>
        </w:rPr>
        <w:t>results proved the validity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the proposed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control method.</w:t>
      </w:r>
    </w:p>
    <w:p>
      <w:pPr>
        <w:pStyle w:val="BodyText"/>
        <w:ind w:left="289" w:right="283" w:firstLine="82"/>
        <w:spacing w:before="14" w:line="243" w:lineRule="auto"/>
        <w:rPr/>
      </w:pPr>
      <w:r>
        <w:rPr>
          <w:color w:val="231F20"/>
        </w:rPr>
        <w:t>Keywords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2"/>
        </w:rPr>
        <w:t>：</w:t>
      </w:r>
      <w:r>
        <w:rPr>
          <w:color w:val="231F20"/>
        </w:rPr>
        <w:t>permanent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magnet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synchronous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motor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</w:rPr>
        <w:t>PMSM</w:t>
      </w:r>
      <w:r>
        <w:rPr>
          <w:color w:val="231F20"/>
          <w:spacing w:val="2"/>
        </w:rPr>
        <w:t>); </w:t>
      </w:r>
      <w:r>
        <w:rPr>
          <w:color w:val="231F20"/>
        </w:rPr>
        <w:t>vector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; </w:t>
      </w:r>
      <w:r>
        <w:rPr>
          <w:color w:val="231F20"/>
        </w:rPr>
        <w:t>Space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Pulse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Modulation </w:t>
      </w:r>
      <w:r>
        <w:rPr>
          <w:color w:val="231F20"/>
          <w:spacing w:val="-4"/>
        </w:rPr>
        <w:t>（SVPWM）</w:t>
      </w:r>
    </w:p>
    <w:p>
      <w:pPr>
        <w:spacing w:before="85"/>
        <w:rPr/>
      </w:pPr>
      <w:r/>
    </w:p>
    <w:p>
      <w:pPr>
        <w:spacing w:before="84"/>
        <w:rPr/>
      </w:pPr>
      <w:r/>
    </w:p>
    <w:p>
      <w:pPr>
        <w:sectPr>
          <w:headerReference w:type="default" r:id="rId1"/>
          <w:pgSz w:w="12246" w:h="15931"/>
          <w:pgMar w:top="892" w:right="1019" w:bottom="0" w:left="936" w:header="481" w:footer="0" w:gutter="0"/>
          <w:cols w:equalWidth="0" w:num="1">
            <w:col w:w="10291" w:space="0"/>
          </w:cols>
        </w:sectPr>
        <w:rPr/>
      </w:pPr>
    </w:p>
    <w:p>
      <w:pPr>
        <w:ind w:left="85"/>
        <w:spacing w:before="49" w:line="223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231F20"/>
          <w:spacing w:val="-8"/>
        </w:rPr>
        <w:t>0</w:t>
      </w:r>
      <w:r>
        <w:rPr>
          <w:rFonts w:ascii="SimHei" w:hAnsi="SimHei" w:eastAsia="SimHei" w:cs="SimHei"/>
          <w:sz w:val="24"/>
          <w:szCs w:val="24"/>
          <w:color w:val="231F20"/>
          <w:spacing w:val="15"/>
        </w:rPr>
        <w:t xml:space="preserve">  </w:t>
      </w:r>
      <w:r>
        <w:rPr>
          <w:rFonts w:ascii="SimHei" w:hAnsi="SimHei" w:eastAsia="SimHei" w:cs="SimHei"/>
          <w:sz w:val="24"/>
          <w:szCs w:val="24"/>
          <w:color w:val="231F20"/>
          <w:spacing w:val="-8"/>
        </w:rPr>
        <w:t>引言</w:t>
      </w:r>
    </w:p>
    <w:p>
      <w:pPr>
        <w:pStyle w:val="BodyText"/>
        <w:ind w:left="86" w:right="131" w:firstLine="376"/>
        <w:spacing w:before="32" w:line="208" w:lineRule="auto"/>
        <w:jc w:val="both"/>
        <w:rPr/>
      </w:pPr>
      <w:r>
        <w:rPr>
          <w:color w:val="231F20"/>
          <w:spacing w:val="-4"/>
        </w:rPr>
        <w:t>随着永磁同步电动机的控制技术的不断发展，各种控制技术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也在逐步成熟并且在实际中得到广泛应用。然而</w:t>
      </w:r>
      <w:r>
        <w:rPr>
          <w:color w:val="231F20"/>
          <w:spacing w:val="-8"/>
        </w:rPr>
        <w:t>，在实际应用中，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各种控制策略都存在着一定的不足，或低速特性不够理想或过分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依赖于电机的参数等等，因此，对控制策略中存在的问题进行研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究就有着十分重大的意义。本文采用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id=0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控制策略准确的控制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电机转矩保障了电机的高效运行，提升了电机控制性能。</w:t>
      </w:r>
    </w:p>
    <w:p>
      <w:pPr>
        <w:ind w:left="99"/>
        <w:spacing w:before="111" w:line="221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231F20"/>
          <w:spacing w:val="-5"/>
        </w:rPr>
        <w:t>1</w:t>
      </w:r>
      <w:r>
        <w:rPr>
          <w:rFonts w:ascii="SimHei" w:hAnsi="SimHei" w:eastAsia="SimHei" w:cs="SimHei"/>
          <w:sz w:val="24"/>
          <w:szCs w:val="24"/>
          <w:color w:val="231F20"/>
          <w:spacing w:val="7"/>
        </w:rPr>
        <w:t xml:space="preserve">  </w:t>
      </w:r>
      <w:r>
        <w:rPr>
          <w:rFonts w:ascii="SimHei" w:hAnsi="SimHei" w:eastAsia="SimHei" w:cs="SimHei"/>
          <w:sz w:val="24"/>
          <w:szCs w:val="24"/>
          <w:color w:val="231F20"/>
          <w:spacing w:val="-5"/>
        </w:rPr>
        <w:t>矢量控制策略</w:t>
      </w:r>
    </w:p>
    <w:p>
      <w:pPr>
        <w:pStyle w:val="BodyText"/>
        <w:ind w:left="86" w:right="181" w:firstLine="378"/>
        <w:spacing w:before="37" w:line="204" w:lineRule="auto"/>
        <w:rPr/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283608</wp:posOffset>
            </wp:positionH>
            <wp:positionV relativeFrom="paragraph">
              <wp:posOffset>458868</wp:posOffset>
            </wp:positionV>
            <wp:extent cx="633406" cy="199943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406" cy="19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9"/>
        </w:rPr>
        <w:t>i</w:t>
      </w:r>
      <w:r>
        <w:rPr>
          <w:sz w:val="10"/>
          <w:szCs w:val="10"/>
          <w:color w:val="231F20"/>
          <w:spacing w:val="-10"/>
          <w:position w:val="-3"/>
        </w:rPr>
        <w:t>d</w:t>
      </w:r>
      <w:r>
        <w:rPr>
          <w:color w:val="231F20"/>
          <w:spacing w:val="-10"/>
        </w:rPr>
        <w:t>=0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时，从电动机端口看，相当于一台它励直流电</w:t>
      </w:r>
      <w:r>
        <w:rPr>
          <w:color w:val="231F20"/>
          <w:spacing w:val="-11"/>
        </w:rPr>
        <w:t>动机，定子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电流中只有交轴分量，且定子磁动势空间矢量与永磁体磁场空间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矢量正交，</w:t>
      </w:r>
      <w:r>
        <w:rPr>
          <w:position w:val="-6"/>
        </w:rPr>
        <w:drawing>
          <wp:inline distT="0" distB="0" distL="0" distR="0">
            <wp:extent cx="112351" cy="14878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51" cy="1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5"/>
        </w:rPr>
        <w:t>等于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90°, 电动机转矩中只有永磁转矩分量，其值</w:t>
      </w:r>
      <w:r>
        <w:rPr>
          <w:color w:val="231F20"/>
        </w:rPr>
        <w:t xml:space="preserve"> </w:t>
      </w:r>
      <w:r>
        <w:rPr>
          <w:color w:val="231F20"/>
        </w:rPr>
        <w:t>为</w:t>
      </w:r>
    </w:p>
    <w:p>
      <w:pPr>
        <w:pStyle w:val="BodyText"/>
        <w:ind w:left="2985"/>
        <w:spacing w:before="1" w:line="194" w:lineRule="auto"/>
        <w:rPr/>
      </w:pPr>
      <w:r>
        <w:rPr>
          <w:color w:val="231F20"/>
          <w:spacing w:val="-5"/>
        </w:rPr>
        <w:t>（5）</w:t>
      </w:r>
    </w:p>
    <w:p>
      <w:pPr>
        <w:pStyle w:val="BodyText"/>
        <w:ind w:left="465"/>
        <w:spacing w:before="1" w:line="199" w:lineRule="auto"/>
        <w:rPr/>
      </w:pPr>
      <w:r>
        <w:rPr>
          <w:color w:val="231F20"/>
          <w:spacing w:val="-19"/>
        </w:rPr>
        <w:t>i</w:t>
      </w:r>
      <w:r>
        <w:rPr>
          <w:sz w:val="10"/>
          <w:szCs w:val="10"/>
          <w:color w:val="231F20"/>
          <w:spacing w:val="-2"/>
          <w:position w:val="-3"/>
        </w:rPr>
        <w:t>d</w:t>
      </w:r>
      <w:r>
        <w:rPr>
          <w:color w:val="231F20"/>
          <w:spacing w:val="-2"/>
        </w:rPr>
        <w:t>=0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控制时的相量图如图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所示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2"/>
        </w:rPr>
        <w:t>：</w:t>
      </w:r>
    </w:p>
    <w:p>
      <w:pPr>
        <w:ind w:firstLine="1387"/>
        <w:spacing w:line="1357" w:lineRule="exact"/>
        <w:rPr/>
      </w:pPr>
      <w:r>
        <w:rPr>
          <w:position w:val="-27"/>
        </w:rPr>
        <w:drawing>
          <wp:inline distT="0" distB="0" distL="0" distR="0">
            <wp:extent cx="1548017" cy="86168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017" cy="86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71"/>
        <w:spacing w:before="134" w:line="194" w:lineRule="auto"/>
        <w:outlineLvl w:val="0"/>
        <w:rPr/>
      </w:pPr>
      <w:r>
        <w:rPr>
          <w:color w:val="231F20"/>
          <w:spacing w:val="-18"/>
        </w:rPr>
        <w:t>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8"/>
        </w:rPr>
        <w:t>2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8"/>
        </w:rPr>
        <w:t>i</w:t>
      </w:r>
      <w:r>
        <w:rPr>
          <w:sz w:val="10"/>
          <w:szCs w:val="10"/>
          <w:color w:val="231F20"/>
          <w:spacing w:val="-1"/>
          <w:position w:val="-3"/>
        </w:rPr>
        <w:t>d</w:t>
      </w:r>
      <w:r>
        <w:rPr>
          <w:color w:val="231F20"/>
          <w:spacing w:val="-1"/>
        </w:rPr>
        <w:t>=0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矢量控制相量图</w:t>
      </w:r>
    </w:p>
    <w:p>
      <w:pPr>
        <w:pStyle w:val="BodyText"/>
        <w:ind w:left="84" w:right="118" w:firstLine="371"/>
        <w:spacing w:before="1" w:line="202" w:lineRule="auto"/>
        <w:rPr/>
      </w:pPr>
      <w:r>
        <w:rPr>
          <w:color w:val="231F20"/>
        </w:rPr>
        <w:t>从图中可以看出，反电动势相量</w:t>
      </w:r>
      <w:r>
        <w:rPr>
          <w:position w:val="-3"/>
        </w:rPr>
        <w:drawing>
          <wp:inline distT="0" distB="0" distL="0" distR="0">
            <wp:extent cx="128247" cy="13368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247" cy="1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与定子电流相量</w:t>
      </w:r>
      <w:r>
        <w:rPr/>
        <w:drawing>
          <wp:inline distT="0" distB="0" distL="0" distR="0">
            <wp:extent cx="81431" cy="11580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31" cy="11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同相。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对表面凸出示转子磁路结构的永磁同步电动机来说，此时单位定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</w:rPr>
        <w:t>子电流可获得最大的转矩。或者说，在生产所需要转矩的情况下，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9"/>
        </w:rPr>
        <w:t>只需最小的定子电流，从而使铜耗下降，效率有所提高。这也是表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面凸出示转子磁路结构的永磁同步电动机通常采用</w:t>
      </w:r>
      <w:r>
        <w:rPr>
          <w:rFonts w:ascii="Arial" w:hAnsi="Arial" w:eastAsia="Arial" w:cs="Arial"/>
          <w:sz w:val="22"/>
          <w:szCs w:val="22"/>
          <w:color w:val="817E7D"/>
          <w:spacing w:val="3"/>
        </w:rPr>
        <w:t>i,=0</w:t>
      </w:r>
      <w:r>
        <w:rPr>
          <w:color w:val="231F20"/>
          <w:spacing w:val="3"/>
        </w:rPr>
        <w:t>控制的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8"/>
        </w:rPr>
        <w:t>原因。</w:t>
      </w:r>
    </w:p>
    <w:p>
      <w:pPr>
        <w:pStyle w:val="BodyText"/>
        <w:ind w:right="182" w:firstLine="455"/>
        <w:spacing w:before="3" w:line="203" w:lineRule="auto"/>
        <w:jc w:val="both"/>
        <w:rPr/>
      </w:pPr>
      <w:r>
        <w:pict>
          <v:shape id="_x0000_s4" style="position:absolute;margin-left:4.0886pt;margin-top:68.2741pt;mso-position-vertical-relative:text;mso-position-horizontal-relative:text;width:0.3pt;height:15.1pt;z-index:251662336;" filled="false" strokecolor="#231F20" strokeweight="0.28pt" coordsize="6,302" coordorigin="0,0" path="m2,301l2,0e">
            <v:stroke joinstyle="miter" miterlimit="4"/>
          </v:shape>
        </w:pict>
      </w:r>
      <w:r>
        <w:rPr>
          <w:color w:val="231F20"/>
        </w:rPr>
        <w:t>从电动机的电压方程 (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忽略定子电阻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和转矩方程可以得 </w:t>
      </w:r>
      <w:r>
        <w:rPr>
          <w:color w:val="231F20"/>
          <w:spacing w:val="6"/>
        </w:rPr>
        <w:t>到采用</w:t>
      </w:r>
      <w:r>
        <w:rPr>
          <w:rFonts w:ascii="Arial" w:hAnsi="Arial" w:eastAsia="Arial" w:cs="Arial"/>
          <w:sz w:val="21"/>
          <w:szCs w:val="21"/>
          <w:color w:val="777778"/>
        </w:rPr>
        <w:t>iy</w:t>
      </w:r>
      <w:r>
        <w:rPr>
          <w:rFonts w:ascii="Arial" w:hAnsi="Arial" w:eastAsia="Arial" w:cs="Arial"/>
          <w:sz w:val="21"/>
          <w:szCs w:val="21"/>
          <w:color w:val="777778"/>
          <w:spacing w:val="6"/>
        </w:rPr>
        <w:t>=0</w:t>
      </w:r>
      <w:r>
        <w:rPr>
          <w:color w:val="231F20"/>
          <w:spacing w:val="6"/>
        </w:rPr>
        <w:t>控制时在逆变器极限电压下电动</w:t>
      </w:r>
      <w:r>
        <w:rPr>
          <w:color w:val="231F20"/>
          <w:spacing w:val="5"/>
        </w:rPr>
        <w:t>机的最高转速为式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>（6）。从式可以看出，采用 i</w:t>
      </w:r>
      <w:r>
        <w:rPr>
          <w:sz w:val="10"/>
          <w:szCs w:val="10"/>
          <w:color w:val="231F20"/>
          <w:spacing w:val="-3"/>
          <w:position w:val="-3"/>
        </w:rPr>
        <w:t>d</w:t>
      </w:r>
      <w:r>
        <w:rPr>
          <w:color w:val="231F20"/>
          <w:spacing w:val="-3"/>
        </w:rPr>
        <w:t>=0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控制时，电动机的最高转速既取决</w:t>
      </w:r>
      <w:r>
        <w:rPr>
          <w:color w:val="231F20"/>
        </w:rPr>
        <w:t xml:space="preserve"> </w:t>
      </w:r>
      <w:r>
        <w:rPr>
          <w:color w:val="231F20"/>
        </w:rPr>
        <w:t>于逆变器可提供的最高电压、也取决于电动机的输出转矩。电动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机可达的最高电压越大，输出转矩越小，则最高转速越高。</w:t>
      </w:r>
    </w:p>
    <w:p>
      <w:pPr>
        <w:spacing w:line="22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4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234005</wp:posOffset>
            </wp:positionH>
            <wp:positionV relativeFrom="paragraph">
              <wp:posOffset>29761</wp:posOffset>
            </wp:positionV>
            <wp:extent cx="1129483" cy="479462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9483" cy="47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779"/>
        <w:spacing w:before="59" w:line="233" w:lineRule="auto"/>
        <w:rPr/>
      </w:pPr>
      <w:r>
        <w:rPr>
          <w:color w:val="231F20"/>
          <w:spacing w:val="-5"/>
        </w:rPr>
        <w:t>（6）</w:t>
      </w:r>
    </w:p>
    <w:p>
      <w:pPr>
        <w:pStyle w:val="BodyText"/>
        <w:ind w:left="7" w:firstLine="369"/>
        <w:spacing w:before="307" w:line="210" w:lineRule="auto"/>
        <w:jc w:val="both"/>
        <w:rPr/>
      </w:pPr>
      <w:r>
        <w:rPr>
          <w:color w:val="231F20"/>
          <w:spacing w:val="5"/>
        </w:rPr>
        <w:t>按转子磁链定向并使</w:t>
      </w:r>
      <w:r>
        <w:rPr>
          <w:rFonts w:ascii="Arial" w:hAnsi="Arial" w:eastAsia="Arial" w:cs="Arial"/>
          <w:sz w:val="26"/>
          <w:szCs w:val="26"/>
          <w:color w:val="7A7575"/>
          <w:position w:val="1"/>
        </w:rPr>
        <w:t>iy</w:t>
      </w:r>
      <w:r>
        <w:rPr>
          <w:rFonts w:ascii="Arial" w:hAnsi="Arial" w:eastAsia="Arial" w:cs="Arial"/>
          <w:sz w:val="26"/>
          <w:szCs w:val="26"/>
          <w:color w:val="7A7575"/>
          <w:spacing w:val="5"/>
          <w:position w:val="1"/>
        </w:rPr>
        <w:t>=0</w:t>
      </w:r>
      <w:r>
        <w:rPr>
          <w:color w:val="231F20"/>
          <w:spacing w:val="5"/>
        </w:rPr>
        <w:t>的控制方式，对于隐极永磁同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步电动机控制系统，定子电流和转子磁通是互相独</w:t>
      </w:r>
      <w:r>
        <w:rPr>
          <w:color w:val="231F20"/>
          <w:spacing w:val="-4"/>
        </w:rPr>
        <w:t>立的，控制系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统简单，转矩恒定性好，可以获得很宽的调速</w:t>
      </w:r>
      <w:r>
        <w:rPr>
          <w:color w:val="231F20"/>
          <w:spacing w:val="-10"/>
        </w:rPr>
        <w:t>范围，适合于需要高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性能的数控机床、机器人等场合。</w:t>
      </w:r>
    </w:p>
    <w:p>
      <w:pPr>
        <w:ind w:left="7"/>
        <w:spacing w:before="110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231F20"/>
          <w:spacing w:val="-4"/>
        </w:rPr>
        <w:t>2</w:t>
      </w:r>
      <w:r>
        <w:rPr>
          <w:rFonts w:ascii="SimHei" w:hAnsi="SimHei" w:eastAsia="SimHei" w:cs="SimHei"/>
          <w:sz w:val="24"/>
          <w:szCs w:val="24"/>
          <w:color w:val="231F20"/>
          <w:spacing w:val="4"/>
        </w:rPr>
        <w:t xml:space="preserve">   </w:t>
      </w:r>
      <w:r>
        <w:rPr>
          <w:rFonts w:ascii="SimHei" w:hAnsi="SimHei" w:eastAsia="SimHei" w:cs="SimHei"/>
          <w:sz w:val="24"/>
          <w:szCs w:val="24"/>
          <w:color w:val="231F20"/>
          <w:spacing w:val="-4"/>
        </w:rPr>
        <w:t>仿真研究</w:t>
      </w:r>
    </w:p>
    <w:p>
      <w:pPr>
        <w:pStyle w:val="BodyText"/>
        <w:ind w:left="7" w:firstLine="385"/>
        <w:spacing w:before="1" w:line="171" w:lineRule="auto"/>
        <w:jc w:val="both"/>
        <w:rPr/>
      </w:pPr>
      <w:r>
        <w:rPr>
          <w:color w:val="231F20"/>
          <w:spacing w:val="-4"/>
        </w:rPr>
        <w:t>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2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为</w:t>
      </w:r>
      <w:r>
        <w:rPr>
          <w:rFonts w:ascii="Arial" w:hAnsi="Arial" w:eastAsia="Arial" w:cs="Arial"/>
          <w:sz w:val="30"/>
          <w:szCs w:val="30"/>
          <w:color w:val="817E7D"/>
          <w:spacing w:val="-4"/>
          <w:position w:val="-1"/>
        </w:rPr>
        <w:t>i,=0</w:t>
      </w:r>
      <w:r>
        <w:rPr>
          <w:color w:val="231F20"/>
          <w:spacing w:val="-4"/>
        </w:rPr>
        <w:t>控制系统原理图。图中，</w:t>
      </w:r>
      <w:r>
        <w:rPr>
          <w:position w:val="-3"/>
        </w:rPr>
        <w:drawing>
          <wp:inline distT="0" distB="0" distL="0" distR="0">
            <wp:extent cx="141618" cy="11218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618" cy="1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4"/>
        </w:rPr>
        <w:t>和</w:t>
      </w:r>
      <w:r>
        <w:rPr>
          <w:position w:val="-3"/>
        </w:rPr>
        <w:drawing>
          <wp:inline distT="0" distB="0" distL="0" distR="0">
            <wp:extent cx="96846" cy="11218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846" cy="1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4"/>
        </w:rPr>
        <w:t>为检测出的电</w:t>
      </w:r>
      <w:r>
        <w:rPr>
          <w:color w:val="231F20"/>
        </w:rPr>
        <w:t xml:space="preserve"> </w:t>
      </w:r>
      <w:r>
        <w:rPr>
          <w:color w:val="231F20"/>
          <w:spacing w:val="-4"/>
          <w:position w:val="1"/>
        </w:rPr>
        <w:t>动机转速和角度空间位移，</w:t>
      </w:r>
      <w:r>
        <w:rPr>
          <w:rFonts w:ascii="Arial" w:hAnsi="Arial" w:eastAsia="Arial" w:cs="Arial"/>
          <w:sz w:val="26"/>
          <w:szCs w:val="26"/>
          <w:color w:val="8E8D93"/>
          <w:spacing w:val="-4"/>
          <w:position w:val="-2"/>
        </w:rPr>
        <w:t>iz</w:t>
      </w:r>
      <w:r>
        <w:rPr>
          <w:color w:val="231F20"/>
          <w:spacing w:val="-4"/>
          <w:position w:val="1"/>
        </w:rPr>
        <w:t>，</w:t>
      </w:r>
      <w:r>
        <w:rPr>
          <w:rFonts w:ascii="Arial" w:hAnsi="Arial" w:eastAsia="Arial" w:cs="Arial"/>
          <w:sz w:val="26"/>
          <w:szCs w:val="26"/>
          <w:color w:val="949191"/>
          <w:spacing w:val="-4"/>
          <w:position w:val="-1"/>
        </w:rPr>
        <w:t>ip</w:t>
      </w:r>
      <w:r>
        <w:rPr>
          <w:color w:val="231F20"/>
          <w:spacing w:val="-4"/>
          <w:position w:val="1"/>
        </w:rPr>
        <w:t>和</w:t>
      </w:r>
      <w:r>
        <w:rPr>
          <w:rFonts w:ascii="Arial" w:hAnsi="Arial" w:eastAsia="Arial" w:cs="Arial"/>
          <w:sz w:val="26"/>
          <w:szCs w:val="26"/>
          <w:color w:val="736B6C"/>
          <w:spacing w:val="-4"/>
          <w:position w:val="-2"/>
        </w:rPr>
        <w:t>ic</w:t>
      </w:r>
      <w:r>
        <w:rPr>
          <w:color w:val="231F20"/>
          <w:spacing w:val="-4"/>
          <w:position w:val="1"/>
        </w:rPr>
        <w:t>为检测出的实际定子</w:t>
      </w:r>
      <w:r>
        <w:rPr>
          <w:color w:val="231F20"/>
          <w:spacing w:val="-5"/>
          <w:position w:val="1"/>
        </w:rPr>
        <w:t>三相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7"/>
        </w:rPr>
        <w:t>电流值。</w:t>
      </w:r>
    </w:p>
    <w:p>
      <w:pPr>
        <w:spacing w:line="2101" w:lineRule="exact"/>
        <w:rPr/>
      </w:pPr>
      <w:r>
        <w:rPr>
          <w:position w:val="-42"/>
        </w:rPr>
        <w:drawing>
          <wp:inline distT="0" distB="0" distL="0" distR="0">
            <wp:extent cx="3150000" cy="133394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0000" cy="133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3"/>
        <w:spacing w:before="120" w:line="192" w:lineRule="auto"/>
        <w:outlineLvl w:val="0"/>
        <w:rPr/>
      </w:pPr>
      <w:r>
        <w:rPr>
          <w:color w:val="231F20"/>
          <w:spacing w:val="1"/>
        </w:rPr>
        <w:t>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2</w:t>
      </w:r>
      <w:r>
        <w:rPr>
          <w:color w:val="231F20"/>
          <w:spacing w:val="-45"/>
        </w:rPr>
        <w:t xml:space="preserve"> </w:t>
      </w:r>
      <w:r>
        <w:rPr>
          <w:rFonts w:ascii="Arial" w:hAnsi="Arial" w:eastAsia="Arial" w:cs="Arial"/>
          <w:sz w:val="23"/>
          <w:szCs w:val="23"/>
          <w:color w:val="777778"/>
        </w:rPr>
        <w:t>iy</w:t>
      </w:r>
      <w:r>
        <w:rPr>
          <w:rFonts w:ascii="Arial" w:hAnsi="Arial" w:eastAsia="Arial" w:cs="Arial"/>
          <w:sz w:val="23"/>
          <w:szCs w:val="23"/>
          <w:color w:val="777778"/>
          <w:spacing w:val="1"/>
        </w:rPr>
        <w:t>=0</w:t>
      </w:r>
      <w:r>
        <w:rPr>
          <w:color w:val="231F20"/>
          <w:spacing w:val="1"/>
        </w:rPr>
        <w:t>控制系统框图</w:t>
      </w:r>
    </w:p>
    <w:p>
      <w:pPr>
        <w:pStyle w:val="BodyText"/>
        <w:ind w:left="11" w:right="3" w:firstLine="369"/>
        <w:spacing w:line="205" w:lineRule="auto"/>
        <w:rPr/>
      </w:pPr>
      <w:r>
        <w:rPr>
          <w:color w:val="231F20"/>
          <w:spacing w:val="-4"/>
        </w:rPr>
        <w:t>下面对电机在空载起动、转速突变以及负载突变时进行仿真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实验</w:t>
      </w:r>
    </w:p>
    <w:p>
      <w:pPr>
        <w:ind w:left="6"/>
        <w:spacing w:line="218" w:lineRule="auto"/>
        <w:outlineLvl w:val="0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>2.1</w: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 xml:space="preserve">  </w: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>空载起动仿真</w:t>
      </w:r>
    </w:p>
    <w:p>
      <w:pPr>
        <w:pStyle w:val="BodyText"/>
        <w:ind w:left="6" w:firstLine="371"/>
        <w:spacing w:line="205" w:lineRule="auto"/>
        <w:rPr/>
      </w:pPr>
      <w:r>
        <w:rPr>
          <w:color w:val="231F20"/>
          <w:spacing w:val="-2"/>
        </w:rPr>
        <w:t>指令转速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1000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转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/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分下分析空载启动过程的转速、</w:t>
      </w:r>
      <w:r>
        <w:rPr>
          <w:color w:val="231F20"/>
          <w:spacing w:val="-3"/>
        </w:rPr>
        <w:t>转矩以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及定子电流波形如以下各图所示</w:t>
      </w:r>
    </w:p>
    <w:p>
      <w:pPr>
        <w:pStyle w:val="BodyText"/>
        <w:ind w:left="9" w:firstLine="367"/>
        <w:spacing w:before="1" w:line="205" w:lineRule="auto"/>
        <w:rPr/>
      </w:pPr>
      <w:r>
        <w:rPr>
          <w:color w:val="231F20"/>
          <w:spacing w:val="-5"/>
        </w:rPr>
        <w:t>仿真中，电动机空载启动，t=0.025s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前转速、转矩</w:t>
      </w:r>
      <w:r>
        <w:rPr>
          <w:color w:val="231F20"/>
          <w:spacing w:val="-6"/>
        </w:rPr>
        <w:t>和电流均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大幅震荡，在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t=0.07s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时转速达到稳定值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1000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转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/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分，稳态误差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为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7"/>
        </w:rPr>
        <w:t>2%。</w:t>
      </w:r>
    </w:p>
    <w:p>
      <w:pPr>
        <w:ind w:left="6"/>
        <w:spacing w:line="221" w:lineRule="auto"/>
        <w:rPr>
          <w:rFonts w:ascii="SimHei" w:hAnsi="SimHei" w:eastAsia="SimHei" w:cs="SimHei"/>
          <w:sz w:val="22"/>
          <w:szCs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2273627</wp:posOffset>
            </wp:positionH>
            <wp:positionV relativeFrom="paragraph">
              <wp:posOffset>301043</wp:posOffset>
            </wp:positionV>
            <wp:extent cx="862177" cy="216942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2177" cy="21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>2.2</w: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 xml:space="preserve">  </w: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>转速突变仿真</w:t>
      </w:r>
    </w:p>
    <w:p>
      <w:pPr>
        <w:spacing w:line="221" w:lineRule="auto"/>
        <w:sectPr>
          <w:type w:val="continuous"/>
          <w:pgSz w:w="12246" w:h="15931"/>
          <w:pgMar w:top="892" w:right="1019" w:bottom="0" w:left="936" w:header="481" w:footer="0" w:gutter="0"/>
          <w:cols w:equalWidth="0" w:num="2">
            <w:col w:w="5229" w:space="100"/>
            <w:col w:w="4962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104"/>
        <w:spacing w:before="79" w:line="181" w:lineRule="auto"/>
        <w:rPr>
          <w:rFonts w:ascii="NSimSun" w:hAnsi="NSimSun" w:eastAsia="NSimSun" w:cs="NSimSun"/>
          <w:sz w:val="24"/>
          <w:szCs w:val="24"/>
        </w:rPr>
      </w:pPr>
      <w:r>
        <w:rPr>
          <w:rFonts w:ascii="NSimSun" w:hAnsi="NSimSun" w:eastAsia="NSimSun" w:cs="NSimSun"/>
          <w:sz w:val="24"/>
          <w:szCs w:val="24"/>
          <w:color w:val="231F20"/>
          <w:spacing w:val="-5"/>
        </w:rPr>
        <w:t>122</w:t>
      </w:r>
    </w:p>
    <w:p>
      <w:pPr>
        <w:ind w:left="8934"/>
        <w:spacing w:line="48" w:lineRule="exact"/>
        <w:rPr>
          <w:rFonts w:ascii="Microsoft YaHei" w:hAnsi="Microsoft YaHei" w:eastAsia="Microsoft YaHei" w:cs="Microsoft YaHei"/>
          <w:sz w:val="5"/>
          <w:szCs w:val="5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49604</wp:posOffset>
            </wp:positionH>
            <wp:positionV relativeFrom="paragraph">
              <wp:posOffset>2468</wp:posOffset>
            </wp:positionV>
            <wp:extent cx="234391" cy="4368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391" cy="4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5"/>
          <w:szCs w:val="5"/>
          <w:color w:val="808285"/>
          <w:spacing w:val="14"/>
          <w:w w:val="153"/>
        </w:rPr>
        <w:t>巨</w:t>
      </w:r>
      <w:r>
        <w:rPr>
          <w:rFonts w:ascii="Microsoft YaHei" w:hAnsi="Microsoft YaHei" w:eastAsia="Microsoft YaHei" w:cs="Microsoft YaHei"/>
          <w:sz w:val="5"/>
          <w:szCs w:val="5"/>
          <w:color w:val="808285"/>
          <w:spacing w:val="4"/>
        </w:rPr>
        <w:t xml:space="preserve"> </w:t>
      </w:r>
      <w:r>
        <w:rPr>
          <w:rFonts w:ascii="Arial" w:hAnsi="Arial" w:eastAsia="Arial" w:cs="Arial"/>
          <w:sz w:val="5"/>
          <w:szCs w:val="5"/>
          <w:color w:val="808285"/>
          <w:spacing w:val="14"/>
          <w:w w:val="153"/>
        </w:rPr>
        <w:t>L_</w:t>
      </w:r>
      <w:r>
        <w:rPr>
          <w:rFonts w:ascii="Arial" w:hAnsi="Arial" w:eastAsia="Arial" w:cs="Arial"/>
          <w:sz w:val="5"/>
          <w:szCs w:val="5"/>
          <w:color w:val="808285"/>
          <w:spacing w:val="5"/>
          <w:w w:val="104"/>
        </w:rPr>
        <w:t xml:space="preserve"> </w:t>
      </w:r>
      <w:r>
        <w:rPr>
          <w:sz w:val="5"/>
          <w:szCs w:val="5"/>
        </w:rPr>
        <w:drawing>
          <wp:inline distT="0" distB="0" distL="0" distR="0">
            <wp:extent cx="107787" cy="307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787" cy="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5"/>
          <w:szCs w:val="5"/>
          <w:color w:val="808285"/>
          <w:spacing w:val="14"/>
          <w:w w:val="153"/>
        </w:rPr>
        <w:t>T</w:t>
      </w:r>
      <w:r>
        <w:rPr>
          <w:rFonts w:ascii="Arial" w:hAnsi="Arial" w:eastAsia="Arial" w:cs="Arial"/>
          <w:sz w:val="5"/>
          <w:szCs w:val="5"/>
          <w:color w:val="808285"/>
          <w:spacing w:val="4"/>
          <w:w w:val="102"/>
        </w:rPr>
        <w:t xml:space="preserve"> </w:t>
      </w:r>
      <w:r>
        <w:rPr>
          <w:sz w:val="5"/>
          <w:szCs w:val="5"/>
        </w:rPr>
        <w:drawing>
          <wp:inline distT="0" distB="0" distL="0" distR="0">
            <wp:extent cx="118989" cy="3072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89" cy="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5"/>
          <w:szCs w:val="5"/>
          <w:color w:val="808285"/>
          <w:spacing w:val="9"/>
          <w:w w:val="104"/>
        </w:rPr>
        <w:t xml:space="preserve"> </w:t>
      </w:r>
      <w:r>
        <w:rPr>
          <w:rFonts w:ascii="Arial" w:hAnsi="Arial" w:eastAsia="Arial" w:cs="Arial"/>
          <w:sz w:val="5"/>
          <w:szCs w:val="5"/>
          <w:color w:val="808285"/>
          <w:spacing w:val="14"/>
          <w:w w:val="153"/>
        </w:rPr>
        <w:t>I</w:t>
      </w:r>
      <w:r>
        <w:rPr>
          <w:rFonts w:ascii="Arial" w:hAnsi="Arial" w:eastAsia="Arial" w:cs="Arial"/>
          <w:sz w:val="5"/>
          <w:szCs w:val="5"/>
          <w:color w:val="808285"/>
          <w:spacing w:val="14"/>
          <w:w w:val="153"/>
        </w:rPr>
        <w:t xml:space="preserve"> </w:t>
      </w:r>
      <w:r>
        <w:rPr>
          <w:rFonts w:ascii="Arial" w:hAnsi="Arial" w:eastAsia="Arial" w:cs="Arial"/>
          <w:sz w:val="5"/>
          <w:szCs w:val="5"/>
          <w:color w:val="808285"/>
          <w:spacing w:val="14"/>
          <w:w w:val="153"/>
        </w:rPr>
        <w:t>I</w:t>
      </w:r>
      <w:r>
        <w:rPr>
          <w:rFonts w:ascii="Arial" w:hAnsi="Arial" w:eastAsia="Arial" w:cs="Arial"/>
          <w:sz w:val="5"/>
          <w:szCs w:val="5"/>
          <w:color w:val="808285"/>
          <w:spacing w:val="8"/>
          <w:w w:val="106"/>
        </w:rPr>
        <w:t xml:space="preserve"> </w:t>
      </w:r>
      <w:r>
        <w:rPr>
          <w:sz w:val="5"/>
          <w:szCs w:val="5"/>
        </w:rPr>
        <w:drawing>
          <wp:inline distT="0" distB="0" distL="0" distR="0">
            <wp:extent cx="55206" cy="307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06" cy="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5"/>
          <w:szCs w:val="5"/>
          <w:color w:val="808285"/>
          <w:spacing w:val="2"/>
        </w:rPr>
        <w:t xml:space="preserve">   </w:t>
      </w:r>
      <w:r>
        <w:rPr>
          <w:rFonts w:ascii="Arial" w:hAnsi="Arial" w:eastAsia="Arial" w:cs="Arial"/>
          <w:sz w:val="5"/>
          <w:szCs w:val="5"/>
          <w:color w:val="808285"/>
          <w:spacing w:val="14"/>
          <w:w w:val="153"/>
        </w:rPr>
        <w:t>TE</w:t>
      </w:r>
      <w:r>
        <w:rPr>
          <w:rFonts w:ascii="Arial" w:hAnsi="Arial" w:eastAsia="Arial" w:cs="Arial"/>
          <w:sz w:val="5"/>
          <w:szCs w:val="5"/>
          <w:color w:val="808285"/>
          <w:spacing w:val="3"/>
          <w:w w:val="106"/>
        </w:rPr>
        <w:t xml:space="preserve"> </w:t>
      </w:r>
      <w:r>
        <w:rPr>
          <w:rFonts w:ascii="Microsoft YaHei" w:hAnsi="Microsoft YaHei" w:eastAsia="Microsoft YaHei" w:cs="Microsoft YaHei"/>
          <w:sz w:val="5"/>
          <w:szCs w:val="5"/>
          <w:color w:val="808285"/>
          <w:spacing w:val="14"/>
          <w:w w:val="153"/>
        </w:rPr>
        <w:t>二T</w:t>
      </w:r>
    </w:p>
    <w:p>
      <w:pPr>
        <w:spacing w:line="48" w:lineRule="exact"/>
        <w:sectPr>
          <w:type w:val="continuous"/>
          <w:pgSz w:w="12246" w:h="15931"/>
          <w:pgMar w:top="892" w:right="1019" w:bottom="0" w:left="936" w:header="481" w:footer="0" w:gutter="0"/>
          <w:cols w:equalWidth="0" w:num="1">
            <w:col w:w="10291" w:space="0"/>
          </w:cols>
        </w:sectPr>
        <w:rPr>
          <w:rFonts w:ascii="Microsoft YaHei" w:hAnsi="Microsoft YaHei" w:eastAsia="Microsoft YaHei" w:cs="Microsoft YaHei"/>
          <w:sz w:val="5"/>
          <w:szCs w:val="5"/>
        </w:rPr>
      </w:pPr>
    </w:p>
    <w:p>
      <w:pPr>
        <w:spacing w:before="17" w:line="22" w:lineRule="exact"/>
        <w:rPr/>
      </w:pPr>
      <w:r>
        <w:rPr/>
        <w:pict>
          <v:shape id="_x0000_s6" style="mso-position-vertical-relative:line;mso-position-horizontal-relative:char;width:510.4pt;height:1.15pt;" filled="false" strokecolor="#231F20" strokeweight="1.12pt" coordsize="10207,22" coordorigin="0,0" path="m0,11l10207,11e">
            <v:stroke joinstyle="miter" miterlimit="4"/>
          </v:shape>
        </w:pic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4" w:right="5254" w:firstLine="372"/>
        <w:spacing w:before="58" w:line="205" w:lineRule="auto"/>
        <w:rPr/>
      </w:pPr>
      <w:r>
        <w:pict>
          <v:shape id="_x0000_s8" style="position:absolute;margin-left:344.526pt;margin-top:2.38912pt;mso-position-vertical-relative:text;mso-position-horizontal-relative:text;width:63.8pt;height:12.8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outlineLvl w:val="2"/>
                    <w:rPr/>
                  </w:pPr>
                  <w:r>
                    <w:rPr>
                      <w:color w:val="231F20"/>
                      <w:spacing w:val="-6"/>
                    </w:rPr>
                    <w:t>图</w:t>
                  </w:r>
                  <w:r>
                    <w:rPr>
                      <w:color w:val="231F20"/>
                      <w:spacing w:val="-35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3</w:t>
                  </w:r>
                  <w:r>
                    <w:rPr>
                      <w:color w:val="231F20"/>
                      <w:spacing w:val="-38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转速波形图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3789317</wp:posOffset>
            </wp:positionH>
            <wp:positionV relativeFrom="paragraph">
              <wp:posOffset>167344</wp:posOffset>
            </wp:positionV>
            <wp:extent cx="2345675" cy="1042245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5675" cy="104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8"/>
        </w:rPr>
        <w:t>指令转速由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8"/>
        </w:rPr>
        <w:t>1000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8"/>
        </w:rPr>
        <w:t>转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8"/>
        </w:rPr>
        <w:t>/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8"/>
        </w:rPr>
        <w:t>分突变为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8"/>
        </w:rPr>
        <w:t>800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8"/>
        </w:rPr>
        <w:t>转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8"/>
        </w:rPr>
        <w:t>/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8"/>
        </w:rPr>
        <w:t>分，负载转矩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Tm=2N.m，启动过程的仿真波形如以下各图所示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：</w:t>
      </w:r>
    </w:p>
    <w:p>
      <w:pPr>
        <w:pStyle w:val="BodyText"/>
        <w:ind w:left="6" w:right="5202" w:firstLine="390"/>
        <w:spacing w:before="1" w:line="205" w:lineRule="auto"/>
        <w:jc w:val="both"/>
        <w:rPr/>
      </w:pPr>
      <w:r>
        <w:rPr>
          <w:color w:val="231F20"/>
          <w:spacing w:val="-8"/>
        </w:rPr>
        <w:t>电动机负载启动，t=0.02s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8"/>
        </w:rPr>
        <w:t>前为震荡过程，t=0.02s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8"/>
        </w:rPr>
        <w:t>到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8"/>
        </w:rPr>
        <w:t>0.04s，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转矩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开始攀升，并在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t=0.04s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开始稳定波动，由于此间电磁转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矩小于负载转矩，所以该时间段转速下降。t=0.08s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时转速稳定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在指令值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1000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转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/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分，直到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t=0.1s，指令转速突变为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800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转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/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分，此时转矩突然下降到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0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下，紧接着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t=0.1s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0.11s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是转矩提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升过程。伴随转矩变化，转速做出了相应的下降</w:t>
      </w:r>
      <w:r>
        <w:rPr>
          <w:color w:val="231F20"/>
          <w:spacing w:val="-10"/>
        </w:rPr>
        <w:t>变化，电流突然变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；t=0.11s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后转矩稳定波动于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2N.m，转速回升，于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t=0.16s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稳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定在指令值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800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转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/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分。</w:t>
      </w:r>
    </w:p>
    <w:p>
      <w:pPr>
        <w:ind w:left="6"/>
        <w:spacing w:line="218" w:lineRule="auto"/>
        <w:outlineLvl w:val="0"/>
        <w:rPr>
          <w:rFonts w:ascii="SimHei" w:hAnsi="SimHei" w:eastAsia="SimHei" w:cs="SimHei"/>
          <w:sz w:val="22"/>
          <w:szCs w:val="22"/>
        </w:rPr>
      </w:pPr>
      <w:r>
        <w:pict>
          <v:shape id="_x0000_s10" style="position:absolute;margin-left:346.416pt;margin-top:1.54636pt;mso-position-vertical-relative:text;mso-position-horizontal-relative:text;width:66.05pt;height:12.8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outlineLvl w:val="2"/>
                    <w:rPr/>
                  </w:pPr>
                  <w:r>
                    <w:rPr>
                      <w:color w:val="231F20"/>
                      <w:spacing w:val="-4"/>
                    </w:rPr>
                    <w:t>图</w:t>
                  </w:r>
                  <w:r>
                    <w:rPr>
                      <w:color w:val="231F20"/>
                      <w:spacing w:val="-3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4 转矩波形图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>2.3</w: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 xml:space="preserve">  </w:t>
      </w:r>
      <w:r>
        <w:rPr>
          <w:rFonts w:ascii="SimHei" w:hAnsi="SimHei" w:eastAsia="SimHei" w:cs="SimHei"/>
          <w:sz w:val="22"/>
          <w:szCs w:val="22"/>
          <w:color w:val="231F20"/>
          <w:spacing w:val="-1"/>
        </w:rPr>
        <w:t>负载突变仿真</w:t>
      </w:r>
    </w:p>
    <w:p>
      <w:pPr>
        <w:pStyle w:val="BodyText"/>
        <w:ind w:left="6" w:right="5252" w:firstLine="370"/>
        <w:spacing w:line="205" w:lineRule="auto"/>
        <w:jc w:val="both"/>
        <w:rPr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3753317</wp:posOffset>
            </wp:positionH>
            <wp:positionV relativeFrom="paragraph">
              <wp:posOffset>23856</wp:posOffset>
            </wp:positionV>
            <wp:extent cx="2414582" cy="1101647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4582" cy="110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永磁同步电机的负载突变时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, 电机的电流、速度、推力等参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数都会发生很大的变化，负载突变特性可为系统的优</w:t>
      </w:r>
      <w:r>
        <w:rPr>
          <w:color w:val="231F20"/>
          <w:spacing w:val="-4"/>
        </w:rPr>
        <w:t>化设计、控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制策略实施、安全运行等提供理论基础。这里的负载</w:t>
      </w:r>
      <w:r>
        <w:rPr>
          <w:color w:val="231F20"/>
          <w:spacing w:val="-4"/>
        </w:rPr>
        <w:t>突变指在转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速一定的情况下，负载转矩由一个数据突变到另一个数据。</w:t>
      </w:r>
    </w:p>
    <w:p>
      <w:pPr>
        <w:pStyle w:val="BodyText"/>
        <w:ind w:left="7" w:right="5253" w:firstLine="369"/>
        <w:spacing w:line="205" w:lineRule="auto"/>
        <w:rPr/>
      </w:pPr>
      <w:r>
        <w:rPr>
          <w:color w:val="231F20"/>
          <w:spacing w:val="-7"/>
        </w:rPr>
        <w:t>指令转速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1000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转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/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分，负载转矩由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2N.m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突</w:t>
      </w:r>
      <w:r>
        <w:rPr>
          <w:color w:val="231F20"/>
          <w:spacing w:val="-8"/>
        </w:rPr>
        <w:t>变为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5N.m，启动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过程的仿真波形如以下各图所示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"/>
        </w:rPr>
        <w:t>：</w:t>
      </w:r>
    </w:p>
    <w:p>
      <w:pPr>
        <w:pStyle w:val="BodyText"/>
        <w:ind w:left="6" w:right="5252" w:firstLine="373"/>
        <w:spacing w:before="1" w:line="210" w:lineRule="auto"/>
        <w:jc w:val="both"/>
        <w:rPr/>
      </w:pPr>
      <w:r>
        <w:rPr>
          <w:color w:val="231F20"/>
        </w:rPr>
        <w:t>t=0.1s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前转速、转矩、电流变化与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3.1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相同，当负载转矩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在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t=0.1s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突升到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5N.m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时，电动机转速并不受影响，</w:t>
      </w:r>
      <w:r>
        <w:rPr>
          <w:color w:val="231F20"/>
        </w:rPr>
        <w:t>转矩也在 </w:t>
      </w:r>
      <w:r>
        <w:rPr>
          <w:color w:val="231F20"/>
          <w:spacing w:val="-3"/>
        </w:rPr>
        <w:t>t=0.1s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时达到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5N.m。</w:t>
      </w:r>
    </w:p>
    <w:p>
      <w:pPr>
        <w:ind w:left="9"/>
        <w:spacing w:before="110" w:line="224" w:lineRule="auto"/>
        <w:outlineLvl w:val="0"/>
        <w:rPr>
          <w:rFonts w:ascii="SimHei" w:hAnsi="SimHei" w:eastAsia="SimHei" w:cs="SimHei"/>
          <w:sz w:val="24"/>
          <w:szCs w:val="24"/>
        </w:rPr>
      </w:pPr>
      <w:r>
        <w:pict>
          <v:shape id="_x0000_s12" style="position:absolute;margin-left:337.581pt;margin-top:10.5918pt;mso-position-vertical-relative:text;mso-position-horizontal-relative:text;width:99.8pt;height:12.8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outlineLvl w:val="1"/>
                    <w:rPr/>
                  </w:pPr>
                  <w:r>
                    <w:rPr>
                      <w:color w:val="231F20"/>
                      <w:spacing w:val="-5"/>
                    </w:rPr>
                    <w:t>图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5</w:t>
                  </w:r>
                  <w:r>
                    <w:rPr>
                      <w:color w:val="231F20"/>
                      <w:spacing w:val="-3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定子三相电流波形图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3797546</wp:posOffset>
            </wp:positionH>
            <wp:positionV relativeFrom="paragraph">
              <wp:posOffset>303178</wp:posOffset>
            </wp:positionV>
            <wp:extent cx="2454630" cy="1061994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4630" cy="106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4"/>
          <w:szCs w:val="24"/>
          <w:color w:val="231F20"/>
          <w:spacing w:val="-7"/>
        </w:rPr>
        <w:t>3</w:t>
      </w:r>
      <w:r>
        <w:rPr>
          <w:rFonts w:ascii="SimHei" w:hAnsi="SimHei" w:eastAsia="SimHei" w:cs="SimHei"/>
          <w:sz w:val="24"/>
          <w:szCs w:val="24"/>
          <w:color w:val="231F20"/>
          <w:spacing w:val="9"/>
        </w:rPr>
        <w:t xml:space="preserve">  </w:t>
      </w:r>
      <w:r>
        <w:rPr>
          <w:rFonts w:ascii="SimHei" w:hAnsi="SimHei" w:eastAsia="SimHei" w:cs="SimHei"/>
          <w:sz w:val="24"/>
          <w:szCs w:val="24"/>
          <w:color w:val="231F20"/>
          <w:spacing w:val="-7"/>
        </w:rPr>
        <w:t>小结</w:t>
      </w:r>
    </w:p>
    <w:p>
      <w:pPr>
        <w:pStyle w:val="BodyText"/>
        <w:ind w:left="7" w:right="5204" w:firstLine="369"/>
        <w:spacing w:before="92" w:line="209" w:lineRule="auto"/>
        <w:jc w:val="both"/>
        <w:rPr/>
      </w:pPr>
      <w:r>
        <w:rPr>
          <w:color w:val="231F20"/>
          <w:spacing w:val="-2"/>
        </w:rPr>
        <w:t>矢量控制技术是永磁同步电动机调速传动系统的重要方法，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文章通过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id=0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控制方案对空载起动、转速突变、负载突变三个方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面进行了仿真研究，证明了种种方法的正确性和可</w:t>
      </w:r>
      <w:r>
        <w:rPr>
          <w:color w:val="231F20"/>
          <w:spacing w:val="-4"/>
        </w:rPr>
        <w:t>靠性，此种方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法在永磁电机控制方面有重要意义。</w:t>
      </w:r>
    </w:p>
    <w:p>
      <w:pPr>
        <w:ind w:left="2088"/>
        <w:spacing w:before="111" w:line="222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231F20"/>
          <w:spacing w:val="-2"/>
        </w:rPr>
        <w:t>参考文献</w:t>
      </w:r>
    </w:p>
    <w:p>
      <w:pPr>
        <w:pStyle w:val="BodyText"/>
        <w:ind w:left="468" w:right="5253" w:hanging="433"/>
        <w:spacing w:before="84" w:line="205" w:lineRule="auto"/>
        <w:rPr/>
      </w:pPr>
      <w:r>
        <w:rPr>
          <w:color w:val="231F20"/>
          <w:spacing w:val="-4"/>
        </w:rPr>
        <w:t>[1] 钱昊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赵荣祥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永磁同步电机矢量控制系统 [J].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农机化研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究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,2009(2):90-91.</w:t>
      </w:r>
    </w:p>
    <w:p>
      <w:pPr>
        <w:pStyle w:val="BodyText"/>
        <w:ind w:left="459" w:right="5253" w:hanging="424"/>
        <w:spacing w:before="1" w:line="205" w:lineRule="auto"/>
        <w:rPr/>
      </w:pPr>
      <w:r>
        <w:pict>
          <v:shape id="_x0000_s14" style="position:absolute;margin-left:361.566pt;margin-top:9.62267pt;mso-position-vertical-relative:text;mso-position-horizontal-relative:text;width:66.05pt;height:12.8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outlineLvl w:val="2"/>
                    <w:rPr/>
                  </w:pPr>
                  <w:r>
                    <w:rPr>
                      <w:color w:val="231F20"/>
                      <w:spacing w:val="-4"/>
                    </w:rPr>
                    <w:t>图</w:t>
                  </w:r>
                  <w:r>
                    <w:rPr>
                      <w:color w:val="231F20"/>
                      <w:spacing w:val="-3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6 转速波形图</w:t>
                  </w:r>
                </w:p>
              </w:txbxContent>
            </v:textbox>
          </v:shape>
        </w:pict>
      </w:r>
      <w:r>
        <w:rPr>
          <w:color w:val="231F20"/>
          <w:spacing w:val="-5"/>
        </w:rPr>
        <w:t>[2] 王成元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矢量控制交流伺服驱动电动机 [M].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北京 :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机械工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业出版社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,2010.</w:t>
      </w:r>
    </w:p>
    <w:p>
      <w:pPr>
        <w:pStyle w:val="BodyText"/>
        <w:ind w:left="459" w:right="5253" w:hanging="424"/>
        <w:spacing w:line="205" w:lineRule="auto"/>
        <w:rPr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3849000</wp:posOffset>
            </wp:positionH>
            <wp:positionV relativeFrom="paragraph">
              <wp:posOffset>18890</wp:posOffset>
            </wp:positionV>
            <wp:extent cx="2435731" cy="1061999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5731" cy="10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[3]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8"/>
        </w:rPr>
        <w:t>陈伯时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. 电力拖动自动控制系统 [M].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第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8"/>
        </w:rPr>
        <w:t>2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8"/>
        </w:rPr>
        <w:t>版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北京 :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机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械工业出版社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,2010.</w:t>
      </w:r>
    </w:p>
    <w:p>
      <w:pPr>
        <w:pStyle w:val="BodyText"/>
        <w:ind w:left="464" w:right="5253" w:hanging="429"/>
        <w:spacing w:line="205" w:lineRule="auto"/>
        <w:rPr/>
      </w:pPr>
      <w:r>
        <w:rPr>
          <w:color w:val="231F20"/>
          <w:spacing w:val="-7"/>
        </w:rPr>
        <w:t>[4]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王晓明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王玲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. 电动机的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7"/>
        </w:rPr>
        <w:t>DSP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控制 [M].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北京 :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北京航</w:t>
      </w:r>
      <w:r>
        <w:rPr>
          <w:color w:val="231F20"/>
          <w:spacing w:val="-8"/>
        </w:rPr>
        <w:t>空航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天大学出版社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,2010.</w:t>
      </w:r>
    </w:p>
    <w:p>
      <w:pPr>
        <w:pStyle w:val="BodyText"/>
        <w:ind w:left="481" w:right="5254" w:hanging="446"/>
        <w:spacing w:before="1" w:line="211" w:lineRule="auto"/>
        <w:rPr/>
      </w:pPr>
      <w:r>
        <w:rPr>
          <w:color w:val="231F20"/>
          <w:spacing w:val="-4"/>
        </w:rPr>
        <w:t>[5]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周渊深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交直流调速系统与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MATLAB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仿真 [M].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北京 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中国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电力出版社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,2010</w:t>
      </w:r>
    </w:p>
    <w:p>
      <w:pPr>
        <w:ind w:left="2086"/>
        <w:spacing w:before="112" w:line="222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231F20"/>
          <w:spacing w:val="-2"/>
        </w:rPr>
        <w:t>作者简介</w:t>
      </w:r>
    </w:p>
    <w:p>
      <w:pPr>
        <w:pStyle w:val="BodyText"/>
        <w:ind w:left="379"/>
        <w:spacing w:before="84" w:line="220" w:lineRule="auto"/>
        <w:rPr/>
      </w:pPr>
      <w:r>
        <w:rPr>
          <w:color w:val="231F20"/>
          <w:spacing w:val="-16"/>
        </w:rPr>
        <w:t>常亮，男，1977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6"/>
        </w:rPr>
        <w:t>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6"/>
        </w:rPr>
        <w:t>7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6"/>
        </w:rPr>
        <w:t>月，汉族，辽宁辽阳</w:t>
      </w:r>
      <w:r>
        <w:rPr>
          <w:color w:val="231F20"/>
          <w:spacing w:val="-17"/>
        </w:rPr>
        <w:t>人。本科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7"/>
        </w:rPr>
        <w:t>，讲师，研</w:t>
      </w:r>
    </w:p>
    <w:p>
      <w:pPr>
        <w:pStyle w:val="BodyText"/>
        <w:ind w:left="7967"/>
        <w:spacing w:before="96" w:line="221" w:lineRule="auto"/>
        <w:outlineLvl w:val="3"/>
        <w:rPr/>
      </w:pPr>
      <w:r>
        <w:pict>
          <v:shape id="_x0000_s16" style="position:absolute;margin-left:231.221pt;margin-top:3.78838pt;mso-position-vertical-relative:text;mso-position-horizontal-relative:text;width:84.05pt;height:12.8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outlineLvl w:val="1"/>
                    <w:rPr/>
                  </w:pPr>
                  <w:r>
                    <w:rPr>
                      <w:color w:val="231F20"/>
                      <w:spacing w:val="-4"/>
                    </w:rPr>
                    <w:t>图</w:t>
                  </w:r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8 三相电流波形图</w:t>
                  </w:r>
                </w:p>
              </w:txbxContent>
            </v:textbox>
          </v:shape>
        </w:pict>
      </w:r>
      <w:r>
        <w:pict>
          <v:shape id="_x0000_s18" style="position:absolute;margin-left:-0.223793pt;margin-top:-1.70445pt;mso-position-vertical-relative:text;mso-position-horizontal-relative:text;width:81pt;height:12.75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0" w:lineRule="auto"/>
                    <w:rPr/>
                  </w:pPr>
                  <w:r>
                    <w:rPr>
                      <w:color w:val="231F20"/>
                      <w:spacing w:val="-5"/>
                    </w:rPr>
                    <w:t>究方向是电气工程。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4609508</wp:posOffset>
            </wp:positionH>
            <wp:positionV relativeFrom="paragraph">
              <wp:posOffset>260727</wp:posOffset>
            </wp:positionV>
            <wp:extent cx="1870492" cy="1226273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0492" cy="122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2524800</wp:posOffset>
            </wp:positionH>
            <wp:positionV relativeFrom="paragraph">
              <wp:posOffset>160742</wp:posOffset>
            </wp:positionV>
            <wp:extent cx="2023531" cy="1353589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3531" cy="13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9 转速波形图</w:t>
      </w:r>
    </w:p>
    <w:p>
      <w:pPr>
        <w:pStyle w:val="BodyText"/>
        <w:ind w:left="1200"/>
        <w:spacing w:before="99" w:line="221" w:lineRule="auto"/>
        <w:outlineLvl w:val="1"/>
        <w:rPr/>
      </w:pPr>
      <w:r>
        <w:rPr>
          <w:color w:val="231F20"/>
          <w:spacing w:val="-7"/>
        </w:rPr>
        <w:t>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7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转矩波形图</w:t>
      </w:r>
    </w:p>
    <w:p>
      <w:pPr>
        <w:spacing w:before="11" w:line="1773" w:lineRule="exact"/>
        <w:rPr/>
      </w:pPr>
      <w:r>
        <w:rPr>
          <w:position w:val="-35"/>
        </w:rPr>
        <w:drawing>
          <wp:inline distT="0" distB="0" distL="0" distR="0">
            <wp:extent cx="2442551" cy="112628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2551" cy="11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0" w:lineRule="exact"/>
        <w:rPr/>
      </w:pPr>
      <w:r/>
    </w:p>
    <w:p>
      <w:pPr>
        <w:spacing w:line="150" w:lineRule="exact"/>
        <w:sectPr>
          <w:headerReference w:type="default" r:id="rId16"/>
          <w:pgSz w:w="12246" w:h="15931"/>
          <w:pgMar w:top="895" w:right="1010" w:bottom="0" w:left="1020" w:header="461" w:footer="0" w:gutter="0"/>
          <w:cols w:equalWidth="0" w:num="1">
            <w:col w:w="10215" w:space="0"/>
          </w:cols>
        </w:sectPr>
        <w:rPr/>
      </w:pPr>
    </w:p>
    <w:p>
      <w:pPr>
        <w:pStyle w:val="BodyText"/>
        <w:ind w:left="1763"/>
        <w:spacing w:before="36" w:line="221" w:lineRule="auto"/>
        <w:outlineLvl w:val="3"/>
        <w:rPr/>
      </w:pPr>
      <w:r>
        <w:rPr>
          <w:color w:val="231F20"/>
          <w:spacing w:val="-5"/>
        </w:rPr>
        <w:t>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10 转矩波形图</w:t>
      </w:r>
    </w:p>
    <w:p>
      <w:pPr>
        <w:ind w:firstLine="925"/>
        <w:spacing w:before="30" w:line="1931" w:lineRule="exact"/>
        <w:rPr/>
      </w:pPr>
      <w:r>
        <w:rPr>
          <w:position w:val="-38"/>
        </w:rPr>
        <w:drawing>
          <wp:inline distT="0" distB="0" distL="0" distR="0">
            <wp:extent cx="1961280" cy="122627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1280" cy="12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57"/>
        <w:spacing w:line="408" w:lineRule="exact"/>
        <w:rPr/>
      </w:pPr>
      <w:r>
        <w:pict>
          <v:shape id="_x0000_s20" style="position:absolute;margin-left:7.6169pt;margin-top:16.8167pt;mso-position-vertical-relative:text;mso-position-horizontal-relative:text;width:60.4pt;height:4.6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52" w:lineRule="exact"/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808285"/>
                      <w:spacing w:val="15"/>
                      <w:w w:val="150"/>
                    </w:rPr>
                    <w:t>L__巨</w:t>
                  </w:r>
                  <w:r>
                    <w:rPr>
                      <w:sz w:val="5"/>
                      <w:szCs w:val="5"/>
                    </w:rPr>
                    <w:drawing>
                      <wp:inline distT="0" distB="0" distL="0" distR="0">
                        <wp:extent cx="56656" cy="33299"/>
                        <wp:effectExtent l="0" t="0" r="0" b="0"/>
                        <wp:docPr id="50" name="IM 5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0" name="IM 5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6656" cy="33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15"/>
                      <w:w w:val="150"/>
                    </w:rPr>
                    <w:t>T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4"/>
                      <w:w w:val="102"/>
                    </w:rPr>
                    <w:t xml:space="preserve"> </w:t>
                  </w:r>
                  <w:r>
                    <w:rPr>
                      <w:sz w:val="5"/>
                      <w:szCs w:val="5"/>
                    </w:rPr>
                    <w:drawing>
                      <wp:inline distT="0" distB="0" distL="0" distR="0">
                        <wp:extent cx="122114" cy="33299"/>
                        <wp:effectExtent l="0" t="0" r="0" b="0"/>
                        <wp:docPr id="52" name="IM 5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2" name="IM 5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2114" cy="33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9"/>
                      <w:w w:val="10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15"/>
                      <w:w w:val="150"/>
                    </w:rPr>
                    <w:t>I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15"/>
                      <w:w w:val="150"/>
                    </w:rPr>
                    <w:t xml:space="preserve"> </w:t>
                  </w:r>
                  <w:r>
                    <w:rPr>
                      <w:sz w:val="5"/>
                      <w:szCs w:val="5"/>
                    </w:rPr>
                    <w:drawing>
                      <wp:inline distT="0" distB="0" distL="0" distR="0">
                        <wp:extent cx="77660" cy="33299"/>
                        <wp:effectExtent l="0" t="0" r="0" b="0"/>
                        <wp:docPr id="54" name="IM 5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4" name="IM 5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7660" cy="33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2"/>
                    </w:rPr>
                    <w:t xml:space="preserve">  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15"/>
                      <w:w w:val="150"/>
                    </w:rPr>
                    <w:t>T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2"/>
                    </w:rPr>
                    <w:t xml:space="preserve"> </w:t>
                  </w:r>
                  <w:r>
                    <w:rPr>
                      <w:sz w:val="5"/>
                      <w:szCs w:val="5"/>
                    </w:rPr>
                    <w:drawing>
                      <wp:inline distT="0" distB="0" distL="0" distR="0">
                        <wp:extent cx="103506" cy="33312"/>
                        <wp:effectExtent l="0" t="0" r="0" b="0"/>
                        <wp:docPr id="56" name="IM 5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6" name="IM 56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3506" cy="33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808285"/>
                      <w:spacing w:val="15"/>
                      <w:w w:val="150"/>
                    </w:rPr>
                    <w:t>T</w:t>
                  </w:r>
                </w:p>
              </w:txbxContent>
            </v:textbox>
          </v:shape>
        </w:pict>
      </w:r>
      <w:r>
        <w:rPr>
          <w:position w:val="-8"/>
        </w:rPr>
        <w:drawing>
          <wp:inline distT="0" distB="0" distL="0" distR="0">
            <wp:extent cx="862177" cy="25870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2177" cy="2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47"/>
        <w:spacing w:before="123" w:line="221" w:lineRule="auto"/>
        <w:outlineLvl w:val="1"/>
        <w:rPr/>
      </w:pPr>
      <w:r>
        <w:rPr>
          <w:color w:val="231F20"/>
          <w:spacing w:val="-4"/>
        </w:rPr>
        <w:t>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11 三相电流波形图</w:t>
      </w:r>
    </w:p>
    <w:p>
      <w:pPr>
        <w:spacing w:before="32" w:line="1895" w:lineRule="exact"/>
        <w:rPr/>
      </w:pPr>
      <w:r>
        <w:rPr>
          <w:position w:val="-37"/>
        </w:rPr>
        <w:drawing>
          <wp:inline distT="0" distB="0" distL="0" distR="0">
            <wp:extent cx="1928440" cy="1203426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8440" cy="12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before="78" w:line="213" w:lineRule="auto"/>
        <w:jc w:val="right"/>
        <w:rPr>
          <w:sz w:val="24"/>
          <w:szCs w:val="24"/>
        </w:rPr>
      </w:pPr>
      <w:r>
        <w:pict>
          <v:shape id="_x0000_s22" style="position:absolute;margin-left:212.774pt;margin-top:16.2669pt;mso-position-vertical-relative:text;mso-position-horizontal-relative:text;width:19.5pt;height:3.45pt;z-index:-251652096;" filled="false" strokecolor="#231F20" strokeweight="0.28pt" coordsize="390,69" coordorigin="0,0" path="m2,65l386,65l386,2l2,2l2,65xe">
            <v:stroke joinstyle="miter" miterlimit="4"/>
          </v:shape>
        </w:pict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2704020</wp:posOffset>
            </wp:positionH>
            <wp:positionV relativeFrom="paragraph">
              <wp:posOffset>208386</wp:posOffset>
            </wp:positionV>
            <wp:extent cx="243675" cy="40093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75" cy="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SimSun" w:hAnsi="NSimSun" w:eastAsia="NSimSun" w:cs="NSimSun"/>
          <w:sz w:val="24"/>
          <w:szCs w:val="24"/>
          <w:color w:val="231F20"/>
          <w:spacing w:val="-7"/>
        </w:rPr>
        <w:t>123</w:t>
      </w:r>
      <w:r>
        <w:rPr>
          <w:sz w:val="24"/>
          <w:szCs w:val="24"/>
          <w:position w:val="-10"/>
        </w:rPr>
        <w:drawing>
          <wp:inline distT="0" distB="0" distL="0" distR="0">
            <wp:extent cx="2094" cy="191693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4" cy="19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2246" w:h="15931"/>
      <w:pgMar w:top="895" w:right="1010" w:bottom="0" w:left="1020" w:header="461" w:footer="0" w:gutter="0"/>
      <w:cols w:equalWidth="0" w:num="2">
        <w:col w:w="5470" w:space="100"/>
        <w:col w:w="464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"/>
      <w:spacing w:before="1" w:line="21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24"/>
        <w:szCs w:val="24"/>
        <w:color w:val="231F20"/>
        <w:position w:val="-6"/>
      </w:rPr>
      <w:drawing>
        <wp:inline distT="0" distB="0" distL="0" distR="0">
          <wp:extent cx="95415" cy="254647"/>
          <wp:effectExtent l="0" t="0" r="0" b="0"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5415" cy="254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icrosoft YaHei" w:hAnsi="Microsoft YaHei" w:eastAsia="Microsoft YaHei" w:cs="Microsoft YaHei"/>
        <w:sz w:val="24"/>
        <w:szCs w:val="24"/>
        <w:u w:val="single" w:color="auto"/>
        <w:color w:val="231F20"/>
        <w:spacing w:val="52"/>
        <w:w w:val="101"/>
      </w:rPr>
      <w:t xml:space="preserve"> </w:t>
    </w:r>
    <w:r>
      <w:rPr>
        <w:rFonts w:ascii="Microsoft YaHei" w:hAnsi="Microsoft YaHei" w:eastAsia="Microsoft YaHei" w:cs="Microsoft YaHei"/>
        <w:sz w:val="24"/>
        <w:szCs w:val="24"/>
        <w:i/>
        <w:iCs/>
        <w:u w:val="single" w:color="auto"/>
        <w:color w:val="231F20"/>
        <w:spacing w:val="-10"/>
      </w:rPr>
      <w:t>测试工具与解决方案</w:t>
    </w:r>
    <w:r>
      <w:rPr>
        <w:rFonts w:ascii="Microsoft YaHei" w:hAnsi="Microsoft YaHei" w:eastAsia="Microsoft YaHei" w:cs="Microsoft YaHei"/>
        <w:sz w:val="24"/>
        <w:szCs w:val="24"/>
        <w:u w:val="single" w:color="auto"/>
        <w:color w:val="231F20"/>
        <w:spacing w:val="1"/>
      </w:rPr>
      <w:t xml:space="preserve">                                                                </w:t>
    </w:r>
    <w:r>
      <w:rPr>
        <w:rFonts w:ascii="Microsoft YaHei" w:hAnsi="Microsoft YaHei" w:eastAsia="Microsoft YaHei" w:cs="Microsoft YaHei"/>
        <w:sz w:val="24"/>
        <w:szCs w:val="24"/>
        <w:u w:val="single" w:color="auto"/>
        <w:color w:val="231F20"/>
      </w:rPr>
      <w:t xml:space="preserve">                                    </w:t>
    </w:r>
    <w:r>
      <w:rPr>
        <w:rFonts w:ascii="Microsoft YaHei" w:hAnsi="Microsoft YaHei" w:eastAsia="Microsoft YaHei" w:cs="Microsoft YaHei"/>
        <w:sz w:val="18"/>
        <w:szCs w:val="18"/>
        <w:i/>
        <w:iCs/>
        <w:u w:val="single" w:color="auto"/>
        <w:color w:val="231F20"/>
        <w:spacing w:val="-10"/>
      </w:rPr>
      <w:t>2013.22</w:t>
    </w:r>
    <w:r>
      <w:rPr>
        <w:rFonts w:ascii="Microsoft YaHei" w:hAnsi="Microsoft YaHei" w:eastAsia="Microsoft YaHei" w:cs="Microsoft YaHei"/>
        <w:sz w:val="18"/>
        <w:szCs w:val="18"/>
        <w:u w:val="single" w:color="auto"/>
        <w:color w:val="231F20"/>
      </w:rPr>
      <w:t xml:space="preserve">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"/>
      <w:spacing w:before="1" w:line="210" w:lineRule="auto"/>
      <w:rPr>
        <w:rFonts w:ascii="Microsoft YaHei" w:hAnsi="Microsoft YaHei" w:eastAsia="Microsoft YaHei" w:cs="Microsoft YaHei"/>
        <w:sz w:val="24"/>
        <w:szCs w:val="24"/>
      </w:rPr>
    </w:pPr>
    <w:r>
      <w:rPr>
        <w:rFonts w:ascii="Microsoft YaHei" w:hAnsi="Microsoft YaHei" w:eastAsia="Microsoft YaHei" w:cs="Microsoft YaHei"/>
        <w:sz w:val="19"/>
        <w:szCs w:val="19"/>
        <w:i/>
        <w:iCs/>
        <w:u w:val="single" w:color="auto"/>
        <w:color w:val="231F20"/>
        <w:spacing w:val="-10"/>
      </w:rPr>
      <w:t>2013.22</w:t>
    </w:r>
    <w:r>
      <w:rPr>
        <w:rFonts w:ascii="Microsoft YaHei" w:hAnsi="Microsoft YaHei" w:eastAsia="Microsoft YaHei" w:cs="Microsoft YaHei"/>
        <w:sz w:val="19"/>
        <w:szCs w:val="19"/>
        <w:u w:val="single" w:color="auto"/>
        <w:color w:val="231F20"/>
        <w:spacing w:val="1"/>
      </w:rPr>
      <w:t xml:space="preserve">                              </w:t>
    </w:r>
    <w:r>
      <w:rPr>
        <w:rFonts w:ascii="Microsoft YaHei" w:hAnsi="Microsoft YaHei" w:eastAsia="Microsoft YaHei" w:cs="Microsoft YaHei"/>
        <w:sz w:val="19"/>
        <w:szCs w:val="19"/>
        <w:u w:val="single" w:color="auto"/>
        <w:color w:val="231F20"/>
      </w:rPr>
      <w:t xml:space="preserve">                                                                                                 </w:t>
    </w:r>
    <w:r>
      <w:rPr>
        <w:rFonts w:ascii="Microsoft YaHei" w:hAnsi="Microsoft YaHei" w:eastAsia="Microsoft YaHei" w:cs="Microsoft YaHei"/>
        <w:sz w:val="24"/>
        <w:szCs w:val="24"/>
        <w:i/>
        <w:iCs/>
        <w:u w:val="single" w:color="auto"/>
        <w:color w:val="231F20"/>
        <w:spacing w:val="-10"/>
      </w:rPr>
      <w:t>测试工具与解决方案</w:t>
    </w:r>
    <w:r>
      <w:rPr>
        <w:rFonts w:ascii="Microsoft YaHei" w:hAnsi="Microsoft YaHei" w:eastAsia="Microsoft YaHei" w:cs="Microsoft YaHei"/>
        <w:sz w:val="24"/>
        <w:szCs w:val="24"/>
        <w:u w:val="single" w:color="auto"/>
        <w:color w:val="231F20"/>
        <w:spacing w:val="61"/>
      </w:rPr>
      <w:t xml:space="preserve"> </w:t>
    </w:r>
    <w:r>
      <w:rPr>
        <w:sz w:val="24"/>
        <w:szCs w:val="24"/>
        <w:position w:val="-6"/>
      </w:rPr>
      <w:drawing>
        <wp:inline distT="0" distB="0" distL="0" distR="0">
          <wp:extent cx="103212" cy="269226"/>
          <wp:effectExtent l="0" t="0" r="0" b="0"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3212" cy="26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icrosoft YaHei" w:hAnsi="Microsoft YaHei" w:eastAsia="Microsoft YaHei" w:cs="Microsoft YaHei"/>
        <w:sz w:val="24"/>
        <w:szCs w:val="24"/>
        <w:u w:val="single" w:color="auto"/>
        <w:color w:val="231F20"/>
      </w:rPr>
      <w:t xml:space="preserve"> 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8" Type="http://schemas.openxmlformats.org/officeDocument/2006/relationships/image" Target="media/image8.jpeg"/><Relationship Id="rId7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5" Type="http://schemas.openxmlformats.org/officeDocument/2006/relationships/fontTable" Target="fontTable.xml"/><Relationship Id="rId34" Type="http://schemas.openxmlformats.org/officeDocument/2006/relationships/styles" Target="styles.xml"/><Relationship Id="rId33" Type="http://schemas.openxmlformats.org/officeDocument/2006/relationships/settings" Target="settings.xml"/><Relationship Id="rId32" Type="http://schemas.openxmlformats.org/officeDocument/2006/relationships/image" Target="media/image32.png"/><Relationship Id="rId31" Type="http://schemas.openxmlformats.org/officeDocument/2006/relationships/image" Target="media/image31.jpeg"/><Relationship Id="rId30" Type="http://schemas.openxmlformats.org/officeDocument/2006/relationships/image" Target="media/image30.png"/><Relationship Id="rId3" Type="http://schemas.openxmlformats.org/officeDocument/2006/relationships/image" Target="media/image3.jpe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jpe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" Type="http://schemas.openxmlformats.org/officeDocument/2006/relationships/header" Target="header2.xml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jpe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InDesign CS6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2013-11-27T10:28:49Z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2025-03-20T12:52:40</vt:filetime>
  </property>
</Properties>
</file>