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60" w:lineRule="atLeast"/>
        <w:ind w:left="0" w:right="360" w:firstLine="0"/>
        <w:jc w:val="center"/>
        <w:textAlignment w:val="baseline"/>
        <w:rPr>
          <w:rFonts w:hint="eastAsia" w:ascii="HarmonyOS Sans SC" w:hAnsi="HarmonyOS Sans SC" w:eastAsia="HarmonyOS Sans SC" w:cs="HarmonyOS Sans SC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  <w:lang w:eastAsia="zh-CN"/>
        </w:rPr>
      </w:pPr>
      <w:bookmarkStart w:id="0" w:name="_GoBack"/>
      <w:r>
        <w:rPr>
          <w:rFonts w:hint="eastAsia" w:ascii="HarmonyOS Sans SC" w:hAnsi="HarmonyOS Sans SC" w:eastAsia="HarmonyOS Sans SC" w:cs="HarmonyOS Sans SC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/>
        </w:rPr>
        <w:t>HarmonyOS/OpenHarmony应用开发-</w:t>
      </w:r>
      <w:r>
        <w:rPr>
          <w:rFonts w:hint="eastAsia" w:ascii="HarmonyOS Sans SC" w:hAnsi="HarmonyOS Sans SC" w:eastAsia="HarmonyOS Sans SC" w:cs="HarmonyOS Sans SC"/>
          <w:sz w:val="21"/>
          <w:szCs w:val="21"/>
          <w:vertAlign w:val="baseline"/>
        </w:rPr>
        <w:t>ArkTS语言</w:t>
      </w:r>
      <w:r>
        <w:rPr>
          <w:rFonts w:hint="eastAsia" w:ascii="HarmonyOS Sans SC" w:hAnsi="HarmonyOS Sans SC" w:eastAsia="HarmonyOS Sans SC" w:cs="HarmonyOS Sans SC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基本语法</w:t>
      </w:r>
      <w:r>
        <w:rPr>
          <w:rFonts w:hint="eastAsia" w:ascii="HarmonyOS Sans SC" w:hAnsi="HarmonyOS Sans SC" w:eastAsia="HarmonyOS Sans SC" w:cs="HarmonyOS Sans SC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  <w:lang w:eastAsia="zh-CN"/>
        </w:rPr>
        <w:t>说明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60" w:lineRule="atLeast"/>
        <w:ind w:left="0" w:right="360" w:firstLine="0"/>
        <w:jc w:val="left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sz w:val="21"/>
          <w:szCs w:val="21"/>
          <w:bdr w:val="none" w:color="auto" w:sz="0" w:space="0"/>
          <w:vertAlign w:val="baseline"/>
          <w:lang w:val="en-US" w:eastAsia="zh-CN"/>
        </w:rPr>
        <w:t xml:space="preserve">  </w:t>
      </w:r>
      <w:r>
        <w:rPr>
          <w:rFonts w:hint="eastAsia" w:ascii="HarmonyOS Sans SC" w:hAnsi="HarmonyOS Sans SC" w:eastAsia="HarmonyOS Sans SC" w:cs="HarmonyOS Sans SC"/>
          <w:b w:val="0"/>
          <w:bCs w:val="0"/>
          <w:sz w:val="21"/>
          <w:szCs w:val="21"/>
          <w:bdr w:val="none" w:color="auto" w:sz="0" w:space="0"/>
          <w:vertAlign w:val="baseline"/>
          <w:lang w:val="en-US" w:eastAsia="zh-CN"/>
        </w:rPr>
        <w:t xml:space="preserve">  </w:t>
      </w:r>
      <w:r>
        <w:rPr>
          <w:rFonts w:hint="eastAsia" w:ascii="HarmonyOS Sans SC" w:hAnsi="HarmonyOS Sans SC" w:eastAsia="HarmonyOS Sans SC" w:cs="HarmonyOS Sans SC"/>
          <w:b w:val="0"/>
          <w:bCs w:val="0"/>
          <w:sz w:val="21"/>
          <w:szCs w:val="21"/>
          <w:bdr w:val="none" w:color="auto" w:sz="0" w:space="0"/>
          <w:vertAlign w:val="baseline"/>
        </w:rPr>
        <w:t>以一个具体的示例来说明ArkTS的基本组成。如下图所示，当开发者点击按钮时，文本内容从“Hello World”变为“Hello ArkUI”。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textAlignment w:val="baseline"/>
        <w:rPr>
          <w:rFonts w:hint="eastAsia" w:ascii="HarmonyOS Sans SC" w:hAnsi="HarmonyOS Sans SC" w:eastAsia="HarmonyOS Sans SC" w:cs="HarmonyOS Sans SC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/>
          <w:bCs/>
          <w:kern w:val="0"/>
          <w:sz w:val="21"/>
          <w:szCs w:val="21"/>
          <w:bdr w:val="none" w:color="auto" w:sz="0" w:space="0"/>
          <w:vertAlign w:val="baseline"/>
          <w:lang w:val="en-US" w:eastAsia="zh-CN" w:bidi="ar"/>
        </w:rPr>
        <w:t>图1 </w:t>
      </w:r>
      <w:r>
        <w:rPr>
          <w:rFonts w:hint="eastAsia" w:ascii="HarmonyOS Sans SC" w:hAnsi="HarmonyOS Sans SC" w:eastAsia="HarmonyOS Sans SC" w:cs="HarmonyOS Sans SC"/>
          <w:kern w:val="0"/>
          <w:sz w:val="21"/>
          <w:szCs w:val="21"/>
          <w:bdr w:val="none" w:color="auto" w:sz="0" w:space="0"/>
          <w:vertAlign w:val="baseline"/>
          <w:lang w:val="en-US" w:eastAsia="zh-CN" w:bidi="ar"/>
        </w:rPr>
        <w:t>示例效果图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80" w:beforeAutospacing="0" w:after="0" w:afterAutospacing="0" w:line="360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sz w:val="21"/>
          <w:szCs w:val="21"/>
          <w:bdr w:val="none" w:color="auto" w:sz="0" w:space="0"/>
        </w:rPr>
        <w:drawing>
          <wp:inline distT="0" distB="0" distL="114300" distR="114300">
            <wp:extent cx="1476375" cy="636905"/>
            <wp:effectExtent l="0" t="0" r="9525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80" w:beforeAutospacing="0" w:after="0" w:afterAutospacing="0" w:line="360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sz w:val="21"/>
          <w:szCs w:val="21"/>
          <w:bdr w:val="none" w:color="auto" w:sz="0" w:space="0"/>
          <w:vertAlign w:val="baseline"/>
        </w:rPr>
        <w:t>本示例中，ArkTS的基本组成如下所示。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textAlignment w:val="baseline"/>
        <w:rPr>
          <w:rFonts w:hint="eastAsia" w:ascii="HarmonyOS Sans SC" w:hAnsi="HarmonyOS Sans SC" w:eastAsia="HarmonyOS Sans SC" w:cs="HarmonyOS Sans SC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/>
          <w:bCs/>
          <w:kern w:val="0"/>
          <w:sz w:val="21"/>
          <w:szCs w:val="21"/>
          <w:bdr w:val="none" w:color="auto" w:sz="0" w:space="0"/>
          <w:vertAlign w:val="baseline"/>
          <w:lang w:val="en-US" w:eastAsia="zh-CN" w:bidi="ar"/>
        </w:rPr>
        <w:t>图2 </w:t>
      </w:r>
      <w:r>
        <w:rPr>
          <w:rFonts w:hint="eastAsia" w:ascii="HarmonyOS Sans SC" w:hAnsi="HarmonyOS Sans SC" w:eastAsia="HarmonyOS Sans SC" w:cs="HarmonyOS Sans SC"/>
          <w:kern w:val="0"/>
          <w:sz w:val="21"/>
          <w:szCs w:val="21"/>
          <w:bdr w:val="none" w:color="auto" w:sz="0" w:space="0"/>
          <w:vertAlign w:val="baseline"/>
          <w:lang w:val="en-US" w:eastAsia="zh-CN" w:bidi="ar"/>
        </w:rPr>
        <w:t>ArkTS的基本组成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80" w:beforeAutospacing="0" w:after="0" w:afterAutospacing="0" w:line="360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sz w:val="21"/>
          <w:szCs w:val="21"/>
          <w:bdr w:val="none" w:color="auto" w:sz="0" w:space="0"/>
        </w:rPr>
        <w:drawing>
          <wp:inline distT="0" distB="0" distL="114300" distR="114300">
            <wp:extent cx="2854325" cy="2452370"/>
            <wp:effectExtent l="0" t="0" r="3175" b="508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2452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color w:val="242728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color w:val="242728"/>
          <w:sz w:val="21"/>
          <w:szCs w:val="21"/>
          <w:bdr w:val="none" w:color="auto" w:sz="0" w:space="0"/>
          <w:vertAlign w:val="baseline"/>
        </w:rPr>
        <w:t>装饰器： 用于装饰类、结构、方法以及变量，并赋予其特殊的含义。如上述示例中@Entry、@Component和@State都是装饰器，@Component表示自定义组件，@Entry表示该自定义组件为入口组件，@State表示组件中的状态变量，状态变量变化会触发UI刷新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color w:val="242728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t>UI描述</w:t>
      </w:r>
      <w:r>
        <w:rPr>
          <w:rFonts w:hint="eastAsia" w:ascii="HarmonyOS Sans SC" w:hAnsi="HarmonyOS Sans SC" w:eastAsia="HarmonyOS Sans SC" w:cs="HarmonyOS Sans SC"/>
          <w:color w:val="242728"/>
          <w:sz w:val="21"/>
          <w:szCs w:val="21"/>
          <w:bdr w:val="none" w:color="auto" w:sz="0" w:space="0"/>
          <w:vertAlign w:val="baseline"/>
        </w:rPr>
        <w:t>：以声明式的方式来描述UI的结构，例如build()方法中的代码块。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color w:val="242728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t>自定义组件</w:t>
      </w: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bdr w:val="none" w:color="auto" w:sz="0" w:space="0"/>
          <w:vertAlign w:val="baseline"/>
        </w:rPr>
        <w:t>：</w:t>
      </w:r>
      <w:r>
        <w:rPr>
          <w:rFonts w:hint="eastAsia" w:ascii="HarmonyOS Sans SC" w:hAnsi="HarmonyOS Sans SC" w:eastAsia="HarmonyOS Sans SC" w:cs="HarmonyOS Sans SC"/>
          <w:color w:val="242728"/>
          <w:sz w:val="21"/>
          <w:szCs w:val="21"/>
          <w:bdr w:val="none" w:color="auto" w:sz="0" w:space="0"/>
          <w:vertAlign w:val="baseline"/>
        </w:rPr>
        <w:t>可复用的UI单元，可组合其他组件，如上述被@Component装饰的struct Hello。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color w:val="242728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color w:val="242728"/>
          <w:sz w:val="21"/>
          <w:szCs w:val="21"/>
          <w:bdr w:val="none" w:color="auto" w:sz="0" w:space="0"/>
          <w:vertAlign w:val="baseline"/>
        </w:rPr>
        <w:t>系统组件：ArkUI框架中默认内置的基础和容器组件，可直接被开发者调用，比如示例中的Column、Text、Divider、Button。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color w:val="242728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color w:val="242728"/>
          <w:sz w:val="21"/>
          <w:szCs w:val="21"/>
          <w:bdr w:val="none" w:color="auto" w:sz="0" w:space="0"/>
          <w:vertAlign w:val="baseline"/>
        </w:rPr>
        <w:t>属性方法：组件可以通过链式调用配置多项属性，如fontSize()、width()、height()、backgroundColor()等。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color w:val="242728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color w:val="242728"/>
          <w:sz w:val="21"/>
          <w:szCs w:val="21"/>
          <w:bdr w:val="none" w:color="auto" w:sz="0" w:space="0"/>
          <w:vertAlign w:val="baseline"/>
        </w:rPr>
        <w:t>事件方法：组件可以通过链式调用设置多个事件的响应逻辑，如跟随在Button后面的onClick()。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80" w:beforeAutospacing="0" w:after="0" w:afterAutospacing="0" w:line="360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sz w:val="21"/>
          <w:szCs w:val="21"/>
          <w:bdr w:val="none" w:color="auto" w:sz="0" w:space="0"/>
          <w:vertAlign w:val="baseline"/>
        </w:rPr>
        <w:t>除此之外，ArkTS扩展了多种语法范式来使开发更加便捷：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color w:val="242728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instrText xml:space="preserve"> HYPERLINK "https://developer.harmonyos.com/cn/docs/documentation/doc-guides-V3/arkts-builder-0000001524176981-V3" </w:instrText>
      </w: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t>@Builder</w:t>
      </w: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bdr w:val="none" w:color="auto" w:sz="0" w:space="0"/>
          <w:vertAlign w:val="baseline"/>
        </w:rPr>
        <w:t>/</w:t>
      </w: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instrText xml:space="preserve"> HYPERLINK "https://developer.harmonyos.com/cn/docs/documentation/doc-guides-V3/arkts-builderparam-0000001524416541-V3" </w:instrText>
      </w: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t>@BuilderParam</w:t>
      </w: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color w:val="242728"/>
          <w:sz w:val="21"/>
          <w:szCs w:val="21"/>
          <w:bdr w:val="none" w:color="auto" w:sz="0" w:space="0"/>
          <w:vertAlign w:val="baseline"/>
        </w:rPr>
        <w:t>：特殊的封装UI描述的方法，细粒度的封装和复用UI描述。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color w:val="242728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instrText xml:space="preserve"> HYPERLINK "https://developer.harmonyos.com/cn/docs/documentation/doc-guides-V3/arkts-extend-0000001473696678-V3" </w:instrText>
      </w: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t>@Extend</w:t>
      </w: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bdr w:val="none" w:color="auto" w:sz="0" w:space="0"/>
          <w:vertAlign w:val="baseline"/>
        </w:rPr>
        <w:t>/</w:t>
      </w: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instrText xml:space="preserve"> HYPERLINK "https://developer.harmonyos.com/cn/docs/documentation/doc-guides-V3/arkts-style-0000001473856690-V3" </w:instrText>
      </w: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t>@Style</w:t>
      </w: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color w:val="242728"/>
          <w:sz w:val="21"/>
          <w:szCs w:val="21"/>
          <w:bdr w:val="none" w:color="auto" w:sz="0" w:space="0"/>
          <w:vertAlign w:val="baseline"/>
        </w:rPr>
        <w:t>：扩展内置组件和封装属性样式，更灵活地组合内置组件。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color w:val="242728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instrText xml:space="preserve"> HYPERLINK "https://developer.harmonyos.com/cn/docs/documentation/doc-guides-V3/arkts-statestyles-0000001482592098-V3" </w:instrText>
      </w: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t>stateStyles</w:t>
      </w:r>
      <w:r>
        <w:rPr>
          <w:rFonts w:hint="eastAsia" w:ascii="HarmonyOS Sans SC" w:hAnsi="HarmonyOS Sans SC" w:eastAsia="HarmonyOS Sans SC" w:cs="HarmonyOS Sans SC"/>
          <w:color w:val="auto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color w:val="242728"/>
          <w:sz w:val="21"/>
          <w:szCs w:val="21"/>
          <w:bdr w:val="none" w:color="auto" w:sz="0" w:space="0"/>
          <w:vertAlign w:val="baseline"/>
        </w:rPr>
        <w:t>：多态样式，可以依据组件的内部状态的不同，设置不同样式。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8E8E8" w:sz="2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HarmonyOS Sans SC" w:hAnsi="HarmonyOS Sans SC" w:eastAsia="HarmonyOS Sans SC" w:cs="HarmonyOS Sans SC"/>
          <w:i w:val="0"/>
          <w:iCs w:val="0"/>
          <w:caps w:val="0"/>
          <w:color w:val="8D8D8D"/>
          <w:spacing w:val="0"/>
          <w:sz w:val="21"/>
          <w:szCs w:val="21"/>
        </w:rPr>
      </w:pPr>
    </w:p>
    <w:p>
      <w:pPr>
        <w:rPr>
          <w:rFonts w:hint="eastAsia" w:ascii="HarmonyOS Sans SC" w:hAnsi="HarmonyOS Sans SC" w:eastAsia="HarmonyOS Sans SC" w:cs="HarmonyOS Sans SC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armonyOS Sans SC">
    <w:panose1 w:val="00000500000000000000"/>
    <w:charset w:val="86"/>
    <w:family w:val="auto"/>
    <w:pitch w:val="default"/>
    <w:sig w:usb0="00000001" w:usb1="08000000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/>
        <w:lang w:eastAsia="zh-CN"/>
      </w:rPr>
      <w:t>蛟龙腾飞学习分享材料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878F34"/>
    <w:multiLevelType w:val="multilevel"/>
    <w:tmpl w:val="F5878F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ODViNzM0NjdkZWQwMTVkNmViYTA4YTZmMWVmZjkifQ=="/>
  </w:docVars>
  <w:rsids>
    <w:rsidRoot w:val="00000000"/>
    <w:rsid w:val="090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李洋（三和）</cp:lastModifiedBy>
  <dcterms:modified xsi:type="dcterms:W3CDTF">2023-05-29T01:38:59Z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1378293B6AE649C78FEA6345196FC48B_12</vt:lpwstr>
  </property>
</Properties>
</file>